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4AB3A" w14:textId="2C70849D" w:rsidR="00903CDC" w:rsidRPr="00525E11" w:rsidRDefault="00903CDC" w:rsidP="00463082">
      <w:pPr>
        <w:rPr>
          <w:b/>
          <w:bCs/>
          <w:u w:val="single"/>
        </w:rPr>
      </w:pPr>
      <w:r w:rsidRPr="00525E11">
        <w:rPr>
          <w:b/>
          <w:bCs/>
          <w:u w:val="single"/>
        </w:rPr>
        <w:t xml:space="preserve">MEMORIA </w:t>
      </w:r>
      <w:r w:rsidR="00525E11" w:rsidRPr="00525E11">
        <w:rPr>
          <w:b/>
          <w:bCs/>
          <w:u w:val="single"/>
        </w:rPr>
        <w:t>01-04-2024 AL 31-03-2025</w:t>
      </w:r>
    </w:p>
    <w:p w14:paraId="6C7AFB09" w14:textId="77777777" w:rsidR="00903CDC" w:rsidRDefault="00903CDC" w:rsidP="00463082"/>
    <w:p w14:paraId="696F8277" w14:textId="7482AB7D" w:rsidR="00DC1D26" w:rsidRPr="00DC1D26" w:rsidRDefault="00463082" w:rsidP="00DC1D26">
      <w:r w:rsidRPr="00463082">
        <w:t>Breves líneas para poder reconstruir el camino recorrido en el transcurso del Ejercicio 202</w:t>
      </w:r>
      <w:r>
        <w:t>4</w:t>
      </w:r>
      <w:r w:rsidRPr="00463082">
        <w:t>-202</w:t>
      </w:r>
      <w:r>
        <w:t>5.</w:t>
      </w:r>
      <w:r w:rsidR="00F471F1">
        <w:t xml:space="preserve"> </w:t>
      </w:r>
      <w:r w:rsidR="00DC1D26" w:rsidRPr="00DC1D26">
        <w:t xml:space="preserve">Este fue iniciado, ya, en los primeros meses de gestión del </w:t>
      </w:r>
      <w:proofErr w:type="gramStart"/>
      <w:r w:rsidR="00DC1D26" w:rsidRPr="00DC1D26">
        <w:t>Presidente</w:t>
      </w:r>
      <w:proofErr w:type="gramEnd"/>
      <w:r w:rsidR="00DC1D26" w:rsidRPr="00DC1D26">
        <w:t xml:space="preserve"> Javier G Milei.</w:t>
      </w:r>
    </w:p>
    <w:p w14:paraId="24B0A4E5" w14:textId="77777777" w:rsidR="004162CF" w:rsidRDefault="004162CF" w:rsidP="00463082"/>
    <w:p w14:paraId="192054A3" w14:textId="77777777" w:rsidR="004162CF" w:rsidRDefault="004162CF" w:rsidP="004162CF">
      <w:r w:rsidRPr="004162CF">
        <w:t xml:space="preserve">Durante este período, la economía argentina bajo el gobierno de Javier Milei experimentó una transición marcada por una contracción inicial debido a medidas de ajuste fiscal y estabilización, seguida de una recuperación acelerada impulsada por la desregulación, el control de la inflación y el apoyo internacional. </w:t>
      </w:r>
    </w:p>
    <w:p w14:paraId="12DDF45E" w14:textId="77777777" w:rsidR="00DC1D26" w:rsidRPr="004162CF" w:rsidRDefault="00DC1D26" w:rsidP="004162CF"/>
    <w:p w14:paraId="085BAF09" w14:textId="77777777" w:rsidR="004162CF" w:rsidRDefault="004162CF" w:rsidP="004162CF">
      <w:r w:rsidRPr="004162CF">
        <w:t>El año fiscal 2024 cerró con una recesión moderada (-1,7% del PIB), pero el rebote en el segundo semestre y principios de 2025 generó proyecciones de crecimiento del 5% o más para 2025, según el FMI y el Banco Mundial.</w:t>
      </w:r>
    </w:p>
    <w:p w14:paraId="620E6BBD" w14:textId="77777777" w:rsidR="004162CF" w:rsidRPr="004162CF" w:rsidRDefault="004162CF" w:rsidP="004162CF"/>
    <w:p w14:paraId="40569A20" w14:textId="77777777" w:rsidR="004162CF" w:rsidRDefault="004162CF" w:rsidP="004162CF">
      <w:r w:rsidRPr="004162CF">
        <w:t>Contexto General</w:t>
      </w:r>
    </w:p>
    <w:p w14:paraId="10C512F2" w14:textId="77777777" w:rsidR="004162CF" w:rsidRPr="004162CF" w:rsidRDefault="004162CF" w:rsidP="004162CF"/>
    <w:p w14:paraId="55639DC2" w14:textId="77777777" w:rsidR="004162CF" w:rsidRPr="004162CF" w:rsidRDefault="004162CF" w:rsidP="004162CF">
      <w:pPr>
        <w:numPr>
          <w:ilvl w:val="0"/>
          <w:numId w:val="1"/>
        </w:numPr>
      </w:pPr>
      <w:r w:rsidRPr="004162CF">
        <w:t>Inflación: Bajó drásticamente de picos mensuales del 25% (diciembre 2023) a alrededor del 2% mensual en agosto 2025. La anual se estabilizó en torno al 47% en abril 2025, con proyecciones de 30% para fin de año.</w:t>
      </w:r>
    </w:p>
    <w:p w14:paraId="69A7F709" w14:textId="77777777" w:rsidR="004162CF" w:rsidRPr="004162CF" w:rsidRDefault="004162CF" w:rsidP="004162CF">
      <w:pPr>
        <w:numPr>
          <w:ilvl w:val="0"/>
          <w:numId w:val="1"/>
        </w:numPr>
      </w:pPr>
      <w:r w:rsidRPr="004162CF">
        <w:t xml:space="preserve">PIB y Actividad Económica: Contracción en el primer semestre de 2024 (-3,4%), pero crecimiento </w:t>
      </w:r>
      <w:proofErr w:type="spellStart"/>
      <w:r w:rsidRPr="004162CF">
        <w:t>intertrimestral</w:t>
      </w:r>
      <w:proofErr w:type="spellEnd"/>
      <w:r w:rsidRPr="004162CF">
        <w:t xml:space="preserve"> del 3,9% en el tercero y 1,4% en el cuarto. En 2025, el EMAE (Estimador Mensual de Actividad Económica) mostró un +6,5% interanual en enero y +7,5% en febrero.</w:t>
      </w:r>
    </w:p>
    <w:p w14:paraId="6BBD131F" w14:textId="77777777" w:rsidR="004162CF" w:rsidRPr="004162CF" w:rsidRDefault="004162CF" w:rsidP="004162CF">
      <w:pPr>
        <w:numPr>
          <w:ilvl w:val="0"/>
          <w:numId w:val="1"/>
        </w:numPr>
      </w:pPr>
      <w:r w:rsidRPr="004162CF">
        <w:t>Fiscal: Superávit primario por primera vez en años (1,8% del PIB en 2024), con recortes en subsidios y gasto público.</w:t>
      </w:r>
    </w:p>
    <w:p w14:paraId="4F9379F5" w14:textId="77777777" w:rsidR="004162CF" w:rsidRPr="004162CF" w:rsidRDefault="004162CF" w:rsidP="004162CF">
      <w:pPr>
        <w:numPr>
          <w:ilvl w:val="0"/>
          <w:numId w:val="1"/>
        </w:numPr>
      </w:pPr>
      <w:r w:rsidRPr="004162CF">
        <w:t>Pobreza y Salarios: Pobreza bajó del 57% (enero 2024) al 39% (tercer trimestre 2024), gracias a la desinflación. Salarios reales crecieron desde marzo 2024, superando la inflación en sectores público e informal.</w:t>
      </w:r>
    </w:p>
    <w:p w14:paraId="5F6A729D" w14:textId="4D07D226" w:rsidR="009A60E2" w:rsidRPr="004162CF" w:rsidRDefault="004162CF" w:rsidP="002010AC">
      <w:pPr>
        <w:numPr>
          <w:ilvl w:val="0"/>
          <w:numId w:val="1"/>
        </w:numPr>
      </w:pPr>
      <w:r w:rsidRPr="004162CF">
        <w:t xml:space="preserve">Reservas y Tipo de Cambio: Reservas internacionales subieron de US$26.200 millones a cerca de US$50.000 millones con apoyo del FMI. El </w:t>
      </w:r>
      <w:proofErr w:type="spellStart"/>
      <w:r w:rsidRPr="004162CF">
        <w:t>crawling</w:t>
      </w:r>
      <w:proofErr w:type="spellEnd"/>
      <w:r w:rsidRPr="004162CF">
        <w:t xml:space="preserve"> </w:t>
      </w:r>
      <w:proofErr w:type="spellStart"/>
      <w:r w:rsidRPr="004162CF">
        <w:t>peg</w:t>
      </w:r>
      <w:proofErr w:type="spellEnd"/>
      <w:r w:rsidRPr="004162CF">
        <w:t xml:space="preserve"> se mantuvo al 2% mensual hasta octubre 202</w:t>
      </w:r>
      <w:r w:rsidR="003B62F3">
        <w:t>5</w:t>
      </w:r>
      <w:r w:rsidR="009A60E2">
        <w:t>.</w:t>
      </w:r>
    </w:p>
    <w:p w14:paraId="0F06EB34" w14:textId="77777777" w:rsidR="004162CF" w:rsidRDefault="004162CF" w:rsidP="004630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3"/>
        <w:gridCol w:w="1930"/>
        <w:gridCol w:w="3597"/>
        <w:gridCol w:w="3215"/>
      </w:tblGrid>
      <w:tr w:rsidR="008F763B" w:rsidRPr="008F763B" w14:paraId="4293026F" w14:textId="77777777" w:rsidTr="00CA618A">
        <w:trPr>
          <w:trHeight w:val="20"/>
          <w:tblHeader/>
        </w:trPr>
        <w:tc>
          <w:tcPr>
            <w:tcW w:w="587" w:type="pct"/>
            <w:noWrap/>
            <w:vAlign w:val="center"/>
            <w:hideMark/>
          </w:tcPr>
          <w:p w14:paraId="7923E0D4" w14:textId="77777777" w:rsidR="008F763B" w:rsidRPr="008F763B" w:rsidRDefault="008F763B" w:rsidP="008F763B">
            <w:pPr>
              <w:jc w:val="center"/>
              <w:rPr>
                <w:rFonts w:eastAsia="Times New Roman" w:cs="Arial"/>
                <w:b/>
                <w:bCs/>
                <w:color w:val="000000"/>
                <w:kern w:val="0"/>
                <w:sz w:val="20"/>
                <w:szCs w:val="20"/>
                <w:lang w:eastAsia="es-AR"/>
                <w14:ligatures w14:val="none"/>
              </w:rPr>
            </w:pPr>
            <w:r w:rsidRPr="008F763B">
              <w:rPr>
                <w:rFonts w:eastAsia="Times New Roman" w:cs="Arial"/>
                <w:b/>
                <w:bCs/>
                <w:color w:val="000000"/>
                <w:kern w:val="0"/>
                <w:sz w:val="20"/>
                <w:szCs w:val="20"/>
                <w:lang w:eastAsia="es-AR"/>
                <w14:ligatures w14:val="none"/>
              </w:rPr>
              <w:t>Trimestre</w:t>
            </w:r>
          </w:p>
        </w:tc>
        <w:tc>
          <w:tcPr>
            <w:tcW w:w="770" w:type="pct"/>
            <w:noWrap/>
            <w:vAlign w:val="center"/>
            <w:hideMark/>
          </w:tcPr>
          <w:p w14:paraId="70751CC0" w14:textId="77777777" w:rsidR="008F763B" w:rsidRPr="008F763B" w:rsidRDefault="008F763B" w:rsidP="008F763B">
            <w:pPr>
              <w:jc w:val="center"/>
              <w:rPr>
                <w:rFonts w:eastAsia="Times New Roman" w:cs="Arial"/>
                <w:b/>
                <w:bCs/>
                <w:color w:val="000000"/>
                <w:kern w:val="0"/>
                <w:sz w:val="20"/>
                <w:szCs w:val="20"/>
                <w:lang w:eastAsia="es-AR"/>
                <w14:ligatures w14:val="none"/>
              </w:rPr>
            </w:pPr>
            <w:r w:rsidRPr="008F763B">
              <w:rPr>
                <w:rFonts w:eastAsia="Times New Roman" w:cs="Arial"/>
                <w:b/>
                <w:bCs/>
                <w:color w:val="000000"/>
                <w:kern w:val="0"/>
                <w:sz w:val="20"/>
                <w:szCs w:val="20"/>
                <w:lang w:eastAsia="es-AR"/>
                <w14:ligatures w14:val="none"/>
              </w:rPr>
              <w:t>Fecha Aproximada</w:t>
            </w:r>
          </w:p>
        </w:tc>
        <w:tc>
          <w:tcPr>
            <w:tcW w:w="1918" w:type="pct"/>
            <w:noWrap/>
            <w:vAlign w:val="center"/>
            <w:hideMark/>
          </w:tcPr>
          <w:p w14:paraId="57DCD5C7" w14:textId="77777777" w:rsidR="008F763B" w:rsidRPr="008F763B" w:rsidRDefault="008F763B" w:rsidP="008F763B">
            <w:pPr>
              <w:jc w:val="center"/>
              <w:rPr>
                <w:rFonts w:eastAsia="Times New Roman" w:cs="Arial"/>
                <w:b/>
                <w:bCs/>
                <w:color w:val="000000"/>
                <w:kern w:val="0"/>
                <w:sz w:val="20"/>
                <w:szCs w:val="20"/>
                <w:lang w:eastAsia="es-AR"/>
                <w14:ligatures w14:val="none"/>
              </w:rPr>
            </w:pPr>
            <w:r w:rsidRPr="008F763B">
              <w:rPr>
                <w:rFonts w:eastAsia="Times New Roman" w:cs="Arial"/>
                <w:b/>
                <w:bCs/>
                <w:color w:val="000000"/>
                <w:kern w:val="0"/>
                <w:sz w:val="20"/>
                <w:szCs w:val="20"/>
                <w:lang w:eastAsia="es-AR"/>
                <w14:ligatures w14:val="none"/>
              </w:rPr>
              <w:t>Evento Principal</w:t>
            </w:r>
          </w:p>
        </w:tc>
        <w:tc>
          <w:tcPr>
            <w:tcW w:w="1725" w:type="pct"/>
            <w:noWrap/>
            <w:vAlign w:val="center"/>
            <w:hideMark/>
          </w:tcPr>
          <w:p w14:paraId="4E022003" w14:textId="77777777" w:rsidR="008F763B" w:rsidRPr="008F763B" w:rsidRDefault="008F763B" w:rsidP="008F763B">
            <w:pPr>
              <w:jc w:val="center"/>
              <w:rPr>
                <w:rFonts w:eastAsia="Times New Roman" w:cs="Arial"/>
                <w:b/>
                <w:bCs/>
                <w:color w:val="000000"/>
                <w:kern w:val="0"/>
                <w:sz w:val="20"/>
                <w:szCs w:val="20"/>
                <w:lang w:eastAsia="es-AR"/>
                <w14:ligatures w14:val="none"/>
              </w:rPr>
            </w:pPr>
            <w:r w:rsidRPr="008F763B">
              <w:rPr>
                <w:rFonts w:eastAsia="Times New Roman" w:cs="Arial"/>
                <w:b/>
                <w:bCs/>
                <w:color w:val="000000"/>
                <w:kern w:val="0"/>
                <w:sz w:val="20"/>
                <w:szCs w:val="20"/>
                <w:lang w:eastAsia="es-AR"/>
                <w14:ligatures w14:val="none"/>
              </w:rPr>
              <w:t>Impacto</w:t>
            </w:r>
          </w:p>
        </w:tc>
      </w:tr>
      <w:tr w:rsidR="008F763B" w:rsidRPr="008F763B" w14:paraId="07C9177E" w14:textId="77777777" w:rsidTr="00CA618A">
        <w:trPr>
          <w:trHeight w:val="20"/>
        </w:trPr>
        <w:tc>
          <w:tcPr>
            <w:tcW w:w="587" w:type="pct"/>
            <w:vAlign w:val="center"/>
            <w:hideMark/>
          </w:tcPr>
          <w:p w14:paraId="1CD13305"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Abril-</w:t>
            </w:r>
            <w:proofErr w:type="gramStart"/>
            <w:r w:rsidRPr="008F763B">
              <w:rPr>
                <w:rFonts w:eastAsia="Times New Roman" w:cs="Arial"/>
                <w:color w:val="000000"/>
                <w:kern w:val="0"/>
                <w:sz w:val="20"/>
                <w:szCs w:val="20"/>
                <w:lang w:eastAsia="es-AR"/>
                <w14:ligatures w14:val="none"/>
              </w:rPr>
              <w:t>Junio</w:t>
            </w:r>
            <w:proofErr w:type="gramEnd"/>
            <w:r w:rsidRPr="008F763B">
              <w:rPr>
                <w:rFonts w:eastAsia="Times New Roman" w:cs="Arial"/>
                <w:color w:val="000000"/>
                <w:kern w:val="0"/>
                <w:sz w:val="20"/>
                <w:szCs w:val="20"/>
                <w:lang w:eastAsia="es-AR"/>
                <w14:ligatures w14:val="none"/>
              </w:rPr>
              <w:t xml:space="preserve"> 2024</w:t>
            </w:r>
          </w:p>
        </w:tc>
        <w:tc>
          <w:tcPr>
            <w:tcW w:w="770" w:type="pct"/>
            <w:vAlign w:val="center"/>
            <w:hideMark/>
          </w:tcPr>
          <w:p w14:paraId="209F005D"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abr-24</w:t>
            </w:r>
          </w:p>
        </w:tc>
        <w:tc>
          <w:tcPr>
            <w:tcW w:w="1918" w:type="pct"/>
            <w:vAlign w:val="center"/>
            <w:hideMark/>
          </w:tcPr>
          <w:p w14:paraId="0EDDB672"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Recesión inicial: Actividad económica cae 5,4% interanual en Q1, tocando fondo en abril (-3,8% proyectado para 2024). Recortes en subsidios energéticos y obra pública ahorran US$20.000 millones.</w:t>
            </w:r>
          </w:p>
        </w:tc>
        <w:tc>
          <w:tcPr>
            <w:tcW w:w="1725" w:type="pct"/>
            <w:vAlign w:val="center"/>
            <w:hideMark/>
          </w:tcPr>
          <w:p w14:paraId="6AACF1E7"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Ajuste fiscal genera superávit primario (1,8% PIB), pero aumenta pobreza temporalmente al 55,5%. Inflación mensual: 4-5%.</w:t>
            </w:r>
          </w:p>
        </w:tc>
      </w:tr>
      <w:tr w:rsidR="008F763B" w:rsidRPr="008F763B" w14:paraId="63AD2B37" w14:textId="77777777" w:rsidTr="00CA618A">
        <w:trPr>
          <w:trHeight w:val="20"/>
        </w:trPr>
        <w:tc>
          <w:tcPr>
            <w:tcW w:w="587" w:type="pct"/>
            <w:vAlign w:val="center"/>
            <w:hideMark/>
          </w:tcPr>
          <w:p w14:paraId="4896F7D1"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Abril-</w:t>
            </w:r>
            <w:proofErr w:type="gramStart"/>
            <w:r w:rsidRPr="008F763B">
              <w:rPr>
                <w:rFonts w:eastAsia="Times New Roman" w:cs="Arial"/>
                <w:color w:val="000000"/>
                <w:kern w:val="0"/>
                <w:sz w:val="20"/>
                <w:szCs w:val="20"/>
                <w:lang w:eastAsia="es-AR"/>
                <w14:ligatures w14:val="none"/>
              </w:rPr>
              <w:t>Junio</w:t>
            </w:r>
            <w:proofErr w:type="gramEnd"/>
            <w:r w:rsidRPr="008F763B">
              <w:rPr>
                <w:rFonts w:eastAsia="Times New Roman" w:cs="Arial"/>
                <w:color w:val="000000"/>
                <w:kern w:val="0"/>
                <w:sz w:val="20"/>
                <w:szCs w:val="20"/>
                <w:lang w:eastAsia="es-AR"/>
                <w14:ligatures w14:val="none"/>
              </w:rPr>
              <w:t xml:space="preserve"> 2024</w:t>
            </w:r>
          </w:p>
        </w:tc>
        <w:tc>
          <w:tcPr>
            <w:tcW w:w="770" w:type="pct"/>
            <w:vAlign w:val="center"/>
            <w:hideMark/>
          </w:tcPr>
          <w:p w14:paraId="62ADEBDC"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Mayo-</w:t>
            </w:r>
            <w:proofErr w:type="gramStart"/>
            <w:r w:rsidRPr="008F763B">
              <w:rPr>
                <w:rFonts w:eastAsia="Times New Roman" w:cs="Arial"/>
                <w:color w:val="000000"/>
                <w:kern w:val="0"/>
                <w:sz w:val="20"/>
                <w:szCs w:val="20"/>
                <w:lang w:eastAsia="es-AR"/>
                <w14:ligatures w14:val="none"/>
              </w:rPr>
              <w:t>Junio</w:t>
            </w:r>
            <w:proofErr w:type="gramEnd"/>
            <w:r w:rsidRPr="008F763B">
              <w:rPr>
                <w:rFonts w:eastAsia="Times New Roman" w:cs="Arial"/>
                <w:color w:val="000000"/>
                <w:kern w:val="0"/>
                <w:sz w:val="20"/>
                <w:szCs w:val="20"/>
                <w:lang w:eastAsia="es-AR"/>
                <w14:ligatures w14:val="none"/>
              </w:rPr>
              <w:t xml:space="preserve"> 2024</w:t>
            </w:r>
          </w:p>
        </w:tc>
        <w:tc>
          <w:tcPr>
            <w:tcW w:w="1918" w:type="pct"/>
            <w:vAlign w:val="center"/>
            <w:hideMark/>
          </w:tcPr>
          <w:p w14:paraId="453E3615"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Rebote sectorial: Agricultura +81,2% interanual (</w:t>
            </w:r>
            <w:proofErr w:type="spellStart"/>
            <w:r w:rsidRPr="008F763B">
              <w:rPr>
                <w:rFonts w:eastAsia="Times New Roman" w:cs="Arial"/>
                <w:color w:val="000000"/>
                <w:kern w:val="0"/>
                <w:sz w:val="20"/>
                <w:szCs w:val="20"/>
                <w:lang w:eastAsia="es-AR"/>
                <w14:ligatures w14:val="none"/>
              </w:rPr>
              <w:t>post-sequía</w:t>
            </w:r>
            <w:proofErr w:type="spellEnd"/>
            <w:r w:rsidRPr="008F763B">
              <w:rPr>
                <w:rFonts w:eastAsia="Times New Roman" w:cs="Arial"/>
                <w:color w:val="000000"/>
                <w:kern w:val="0"/>
                <w:sz w:val="20"/>
                <w:szCs w:val="20"/>
                <w:lang w:eastAsia="es-AR"/>
                <w14:ligatures w14:val="none"/>
              </w:rPr>
              <w:t xml:space="preserve"> 2023). Desregulación de telecomunicaciones (revoca congelamiento de tarifas).</w:t>
            </w:r>
          </w:p>
        </w:tc>
        <w:tc>
          <w:tcPr>
            <w:tcW w:w="1725" w:type="pct"/>
            <w:vAlign w:val="center"/>
            <w:hideMark/>
          </w:tcPr>
          <w:p w14:paraId="7EAD9153"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Exportaciones de bienes: US$12.006 millones en bimestre. Inversiones directas netas: US$8.888 millones.</w:t>
            </w:r>
          </w:p>
        </w:tc>
      </w:tr>
      <w:tr w:rsidR="008F763B" w:rsidRPr="008F763B" w14:paraId="26EF4FF2" w14:textId="77777777" w:rsidTr="00CA618A">
        <w:trPr>
          <w:trHeight w:val="20"/>
        </w:trPr>
        <w:tc>
          <w:tcPr>
            <w:tcW w:w="587" w:type="pct"/>
            <w:vAlign w:val="center"/>
            <w:hideMark/>
          </w:tcPr>
          <w:p w14:paraId="055FC5CF"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Julio-</w:t>
            </w:r>
            <w:proofErr w:type="gramStart"/>
            <w:r w:rsidRPr="008F763B">
              <w:rPr>
                <w:rFonts w:eastAsia="Times New Roman" w:cs="Arial"/>
                <w:color w:val="000000"/>
                <w:kern w:val="0"/>
                <w:sz w:val="20"/>
                <w:szCs w:val="20"/>
                <w:lang w:eastAsia="es-AR"/>
                <w14:ligatures w14:val="none"/>
              </w:rPr>
              <w:t>Septiembre</w:t>
            </w:r>
            <w:proofErr w:type="gramEnd"/>
            <w:r w:rsidRPr="008F763B">
              <w:rPr>
                <w:rFonts w:eastAsia="Times New Roman" w:cs="Arial"/>
                <w:color w:val="000000"/>
                <w:kern w:val="0"/>
                <w:sz w:val="20"/>
                <w:szCs w:val="20"/>
                <w:lang w:eastAsia="es-AR"/>
                <w14:ligatures w14:val="none"/>
              </w:rPr>
              <w:t xml:space="preserve"> 2024</w:t>
            </w:r>
          </w:p>
        </w:tc>
        <w:tc>
          <w:tcPr>
            <w:tcW w:w="770" w:type="pct"/>
            <w:vAlign w:val="center"/>
            <w:hideMark/>
          </w:tcPr>
          <w:p w14:paraId="46344E18"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sept-24</w:t>
            </w:r>
          </w:p>
        </w:tc>
        <w:tc>
          <w:tcPr>
            <w:tcW w:w="1918" w:type="pct"/>
            <w:vAlign w:val="center"/>
            <w:hideMark/>
          </w:tcPr>
          <w:p w14:paraId="5FA4DBE3"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Introducción del Régimen de Incentivos para Grandes Inversiones (RIGI): Beneficios fiscales para proyectos en minería y energía. Crecimiento anualizado +16,6% en Q3.</w:t>
            </w:r>
          </w:p>
        </w:tc>
        <w:tc>
          <w:tcPr>
            <w:tcW w:w="1725" w:type="pct"/>
            <w:vAlign w:val="center"/>
            <w:hideMark/>
          </w:tcPr>
          <w:p w14:paraId="52948641"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Atracción de IED (Inversión Extranjera Directa) en sectores extractivos. Consumo minorista pyme +10,5% interanual en marzo 2025 (efecto retroactivo).</w:t>
            </w:r>
          </w:p>
        </w:tc>
      </w:tr>
      <w:tr w:rsidR="008F763B" w:rsidRPr="008F763B" w14:paraId="60A5084C" w14:textId="77777777" w:rsidTr="00CA618A">
        <w:trPr>
          <w:trHeight w:val="20"/>
        </w:trPr>
        <w:tc>
          <w:tcPr>
            <w:tcW w:w="587" w:type="pct"/>
            <w:vAlign w:val="center"/>
            <w:hideMark/>
          </w:tcPr>
          <w:p w14:paraId="45DAB2B5"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Octubre-</w:t>
            </w:r>
            <w:proofErr w:type="gramStart"/>
            <w:r w:rsidRPr="008F763B">
              <w:rPr>
                <w:rFonts w:eastAsia="Times New Roman" w:cs="Arial"/>
                <w:color w:val="000000"/>
                <w:kern w:val="0"/>
                <w:sz w:val="20"/>
                <w:szCs w:val="20"/>
                <w:lang w:eastAsia="es-AR"/>
                <w14:ligatures w14:val="none"/>
              </w:rPr>
              <w:t>Diciembre</w:t>
            </w:r>
            <w:proofErr w:type="gramEnd"/>
            <w:r w:rsidRPr="008F763B">
              <w:rPr>
                <w:rFonts w:eastAsia="Times New Roman" w:cs="Arial"/>
                <w:color w:val="000000"/>
                <w:kern w:val="0"/>
                <w:sz w:val="20"/>
                <w:szCs w:val="20"/>
                <w:lang w:eastAsia="es-AR"/>
                <w14:ligatures w14:val="none"/>
              </w:rPr>
              <w:t xml:space="preserve"> 2024</w:t>
            </w:r>
          </w:p>
        </w:tc>
        <w:tc>
          <w:tcPr>
            <w:tcW w:w="770" w:type="pct"/>
            <w:vAlign w:val="center"/>
            <w:hideMark/>
          </w:tcPr>
          <w:p w14:paraId="7206A1A4"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dic-24</w:t>
            </w:r>
          </w:p>
        </w:tc>
        <w:tc>
          <w:tcPr>
            <w:tcW w:w="1918" w:type="pct"/>
            <w:vAlign w:val="center"/>
            <w:hideMark/>
          </w:tcPr>
          <w:p w14:paraId="03741342"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Cierre de año con sprint: PIB +4% en Q4, superando expectativas (1,3%). Inflación mensual 2,4%. Amnistía fiscal genera +US$22.000 millones en depósitos.</w:t>
            </w:r>
          </w:p>
        </w:tc>
        <w:tc>
          <w:tcPr>
            <w:tcW w:w="1725" w:type="pct"/>
            <w:vAlign w:val="center"/>
            <w:hideMark/>
          </w:tcPr>
          <w:p w14:paraId="17137610"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Salarios privados formales recuperan niveles de noviembre 2023. Empleo formal crece, informal en 43,2%.</w:t>
            </w:r>
          </w:p>
        </w:tc>
      </w:tr>
      <w:tr w:rsidR="008F763B" w:rsidRPr="008F763B" w14:paraId="0CA89047" w14:textId="77777777" w:rsidTr="00CA618A">
        <w:trPr>
          <w:trHeight w:val="20"/>
        </w:trPr>
        <w:tc>
          <w:tcPr>
            <w:tcW w:w="587" w:type="pct"/>
            <w:vAlign w:val="center"/>
            <w:hideMark/>
          </w:tcPr>
          <w:p w14:paraId="363C2633"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Enero-</w:t>
            </w:r>
            <w:proofErr w:type="gramStart"/>
            <w:r w:rsidRPr="008F763B">
              <w:rPr>
                <w:rFonts w:eastAsia="Times New Roman" w:cs="Arial"/>
                <w:color w:val="000000"/>
                <w:kern w:val="0"/>
                <w:sz w:val="20"/>
                <w:szCs w:val="20"/>
                <w:lang w:eastAsia="es-AR"/>
                <w14:ligatures w14:val="none"/>
              </w:rPr>
              <w:t>Marzo</w:t>
            </w:r>
            <w:proofErr w:type="gramEnd"/>
            <w:r w:rsidRPr="008F763B">
              <w:rPr>
                <w:rFonts w:eastAsia="Times New Roman" w:cs="Arial"/>
                <w:color w:val="000000"/>
                <w:kern w:val="0"/>
                <w:sz w:val="20"/>
                <w:szCs w:val="20"/>
                <w:lang w:eastAsia="es-AR"/>
                <w14:ligatures w14:val="none"/>
              </w:rPr>
              <w:t xml:space="preserve"> 2025</w:t>
            </w:r>
          </w:p>
        </w:tc>
        <w:tc>
          <w:tcPr>
            <w:tcW w:w="770" w:type="pct"/>
            <w:vAlign w:val="center"/>
            <w:hideMark/>
          </w:tcPr>
          <w:p w14:paraId="3C923D28"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ene-25</w:t>
            </w:r>
          </w:p>
        </w:tc>
        <w:tc>
          <w:tcPr>
            <w:tcW w:w="1918" w:type="pct"/>
            <w:vAlign w:val="center"/>
            <w:hideMark/>
          </w:tcPr>
          <w:p w14:paraId="5140FE13"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Crecimiento EMAE +6,5% interanual. Consumo en supermercados +1,9% m/m.</w:t>
            </w:r>
          </w:p>
        </w:tc>
        <w:tc>
          <w:tcPr>
            <w:tcW w:w="1725" w:type="pct"/>
            <w:vAlign w:val="center"/>
            <w:hideMark/>
          </w:tcPr>
          <w:p w14:paraId="455FF0E0"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Demanda interna se recupera; sectores como minería (+13,9%) y finanzas lideran.</w:t>
            </w:r>
          </w:p>
        </w:tc>
      </w:tr>
      <w:tr w:rsidR="008F763B" w:rsidRPr="008F763B" w14:paraId="137FE2A9" w14:textId="77777777" w:rsidTr="00CA618A">
        <w:trPr>
          <w:trHeight w:val="20"/>
        </w:trPr>
        <w:tc>
          <w:tcPr>
            <w:tcW w:w="587" w:type="pct"/>
            <w:vAlign w:val="center"/>
            <w:hideMark/>
          </w:tcPr>
          <w:p w14:paraId="39B3B189"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lastRenderedPageBreak/>
              <w:t>Enero-</w:t>
            </w:r>
            <w:proofErr w:type="gramStart"/>
            <w:r w:rsidRPr="008F763B">
              <w:rPr>
                <w:rFonts w:eastAsia="Times New Roman" w:cs="Arial"/>
                <w:color w:val="000000"/>
                <w:kern w:val="0"/>
                <w:sz w:val="20"/>
                <w:szCs w:val="20"/>
                <w:lang w:eastAsia="es-AR"/>
                <w14:ligatures w14:val="none"/>
              </w:rPr>
              <w:t>Marzo</w:t>
            </w:r>
            <w:proofErr w:type="gramEnd"/>
            <w:r w:rsidRPr="008F763B">
              <w:rPr>
                <w:rFonts w:eastAsia="Times New Roman" w:cs="Arial"/>
                <w:color w:val="000000"/>
                <w:kern w:val="0"/>
                <w:sz w:val="20"/>
                <w:szCs w:val="20"/>
                <w:lang w:eastAsia="es-AR"/>
                <w14:ligatures w14:val="none"/>
              </w:rPr>
              <w:t xml:space="preserve"> 2025</w:t>
            </w:r>
          </w:p>
        </w:tc>
        <w:tc>
          <w:tcPr>
            <w:tcW w:w="770" w:type="pct"/>
            <w:vAlign w:val="center"/>
            <w:hideMark/>
          </w:tcPr>
          <w:p w14:paraId="3DAEA205"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Febrero-</w:t>
            </w:r>
            <w:proofErr w:type="gramStart"/>
            <w:r w:rsidRPr="008F763B">
              <w:rPr>
                <w:rFonts w:eastAsia="Times New Roman" w:cs="Arial"/>
                <w:color w:val="000000"/>
                <w:kern w:val="0"/>
                <w:sz w:val="20"/>
                <w:szCs w:val="20"/>
                <w:lang w:eastAsia="es-AR"/>
                <w14:ligatures w14:val="none"/>
              </w:rPr>
              <w:t>Marzo</w:t>
            </w:r>
            <w:proofErr w:type="gramEnd"/>
            <w:r w:rsidRPr="008F763B">
              <w:rPr>
                <w:rFonts w:eastAsia="Times New Roman" w:cs="Arial"/>
                <w:color w:val="000000"/>
                <w:kern w:val="0"/>
                <w:sz w:val="20"/>
                <w:szCs w:val="20"/>
                <w:lang w:eastAsia="es-AR"/>
                <w14:ligatures w14:val="none"/>
              </w:rPr>
              <w:t xml:space="preserve"> 2025</w:t>
            </w:r>
          </w:p>
        </w:tc>
        <w:tc>
          <w:tcPr>
            <w:tcW w:w="1918" w:type="pct"/>
            <w:vAlign w:val="center"/>
            <w:hideMark/>
          </w:tcPr>
          <w:p w14:paraId="6F8A7E11"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Inflación mensual 2,4% (febrero), salarios suben 3,8% m/m superando inflación. EMAE +7,5% en febrero. Desaceleración en marzo: Industria y construcción -4%, salario real -0,8%.</w:t>
            </w:r>
          </w:p>
        </w:tc>
        <w:tc>
          <w:tcPr>
            <w:tcW w:w="1725" w:type="pct"/>
            <w:vAlign w:val="center"/>
            <w:hideMark/>
          </w:tcPr>
          <w:p w14:paraId="2F1353BA" w14:textId="77777777" w:rsidR="008F763B" w:rsidRPr="008F763B" w:rsidRDefault="008F763B" w:rsidP="008F763B">
            <w:pPr>
              <w:rPr>
                <w:rFonts w:eastAsia="Times New Roman" w:cs="Arial"/>
                <w:color w:val="000000"/>
                <w:kern w:val="0"/>
                <w:sz w:val="20"/>
                <w:szCs w:val="20"/>
                <w:lang w:eastAsia="es-AR"/>
                <w14:ligatures w14:val="none"/>
              </w:rPr>
            </w:pPr>
            <w:r w:rsidRPr="008F763B">
              <w:rPr>
                <w:rFonts w:eastAsia="Times New Roman" w:cs="Arial"/>
                <w:color w:val="000000"/>
                <w:kern w:val="0"/>
                <w:sz w:val="20"/>
                <w:szCs w:val="20"/>
                <w:lang w:eastAsia="es-AR"/>
                <w14:ligatures w14:val="none"/>
              </w:rPr>
              <w:t>Mejora en distribución de ingresos por ayudas estatales. Pobreza e indigencia bajan 14,8 y 9,9 p.p. vs. 2024.</w:t>
            </w:r>
          </w:p>
        </w:tc>
      </w:tr>
    </w:tbl>
    <w:p w14:paraId="0B6D3E4C" w14:textId="77777777" w:rsidR="008F763B" w:rsidRDefault="008F763B" w:rsidP="00463082"/>
    <w:p w14:paraId="1E69D031" w14:textId="77777777" w:rsidR="009E69AD" w:rsidRDefault="009E69AD" w:rsidP="009E69AD">
      <w:r w:rsidRPr="009E69AD">
        <w:t>Desafíos y Perspectivas</w:t>
      </w:r>
    </w:p>
    <w:p w14:paraId="25E3A7C5" w14:textId="77777777" w:rsidR="009E69AD" w:rsidRPr="009E69AD" w:rsidRDefault="009E69AD" w:rsidP="009E69AD"/>
    <w:p w14:paraId="5C649847" w14:textId="0C1B64C2" w:rsidR="009E69AD" w:rsidRPr="009E69AD" w:rsidRDefault="009E69AD" w:rsidP="009E69AD">
      <w:pPr>
        <w:numPr>
          <w:ilvl w:val="0"/>
          <w:numId w:val="2"/>
        </w:numPr>
        <w:tabs>
          <w:tab w:val="clear" w:pos="360"/>
          <w:tab w:val="num" w:pos="720"/>
        </w:tabs>
      </w:pPr>
      <w:r w:rsidRPr="009E69AD">
        <w:t xml:space="preserve">Positivos: Desempleo en mínimos históricos; exportaciones agroindustriales +7% (93,5 millones de toneladas proyectadas 2024/25). </w:t>
      </w:r>
    </w:p>
    <w:p w14:paraId="1A32C9A4" w14:textId="77777777" w:rsidR="009E69AD" w:rsidRPr="009E69AD" w:rsidRDefault="009E69AD" w:rsidP="009E69AD">
      <w:pPr>
        <w:numPr>
          <w:ilvl w:val="0"/>
          <w:numId w:val="2"/>
        </w:numPr>
        <w:tabs>
          <w:tab w:val="clear" w:pos="360"/>
          <w:tab w:val="num" w:pos="720"/>
        </w:tabs>
      </w:pPr>
      <w:r w:rsidRPr="009E69AD">
        <w:t xml:space="preserve">Riesgos: Estancamiento </w:t>
      </w:r>
      <w:proofErr w:type="spellStart"/>
      <w:r w:rsidRPr="009E69AD">
        <w:t>post-rebote</w:t>
      </w:r>
      <w:proofErr w:type="spellEnd"/>
      <w:r w:rsidRPr="009E69AD">
        <w:t xml:space="preserve"> (abril 2025); informalidad laboral alta (43,2%); volatilidad cambiaria y tensiones electorales (</w:t>
      </w:r>
      <w:proofErr w:type="spellStart"/>
      <w:r w:rsidRPr="009E69AD">
        <w:t>midterms</w:t>
      </w:r>
      <w:proofErr w:type="spellEnd"/>
      <w:r w:rsidRPr="009E69AD">
        <w:t xml:space="preserve"> 2025). Salarios estatales -33,8% reales desde 2017.</w:t>
      </w:r>
    </w:p>
    <w:p w14:paraId="296E56FF" w14:textId="0E26C251" w:rsidR="009E69AD" w:rsidRPr="009E69AD" w:rsidRDefault="006A60E7" w:rsidP="009E69AD">
      <w:pPr>
        <w:numPr>
          <w:ilvl w:val="0"/>
          <w:numId w:val="2"/>
        </w:numPr>
        <w:tabs>
          <w:tab w:val="clear" w:pos="360"/>
          <w:tab w:val="num" w:pos="720"/>
        </w:tabs>
      </w:pPr>
      <w:r>
        <w:t>Negativos; I</w:t>
      </w:r>
      <w:r w:rsidR="009E69AD" w:rsidRPr="009E69AD">
        <w:t>mpactos sociales como la caída inicial en ventas</w:t>
      </w:r>
      <w:r>
        <w:t>, caída del ingreso disponible, endeudamiento de las familias.</w:t>
      </w:r>
    </w:p>
    <w:p w14:paraId="736AADAB" w14:textId="77777777" w:rsidR="009E69AD" w:rsidRDefault="009E69AD" w:rsidP="009E69AD"/>
    <w:p w14:paraId="5AD14830" w14:textId="4533E87C" w:rsidR="009E69AD" w:rsidRDefault="009E69AD" w:rsidP="009E69AD">
      <w:r w:rsidRPr="009E69AD">
        <w:t>Esta estabilización posiciona a Argentina como una de las economías de mayor crecimiento en América Latina para 2025, con énfasis en sectores como energía, minería y agro.</w:t>
      </w:r>
    </w:p>
    <w:p w14:paraId="7494AFCA" w14:textId="77777777" w:rsidR="009E69AD" w:rsidRDefault="009E69AD" w:rsidP="00463082"/>
    <w:p w14:paraId="32F076C4" w14:textId="29CB3A9F" w:rsidR="00572374" w:rsidRDefault="008A3A22" w:rsidP="00463082">
      <w:r>
        <w:t>Como señalamos, l</w:t>
      </w:r>
      <w:r w:rsidR="00825CFA">
        <w:t>as primeras medidas</w:t>
      </w:r>
      <w:r w:rsidR="00463082">
        <w:t xml:space="preserve"> fueron clar</w:t>
      </w:r>
      <w:r w:rsidR="00825CFA">
        <w:t>a</w:t>
      </w:r>
      <w:r w:rsidR="00463082">
        <w:t>s y precis</w:t>
      </w:r>
      <w:r w:rsidR="00825CFA">
        <w:t>a</w:t>
      </w:r>
      <w:r w:rsidR="00463082">
        <w:t xml:space="preserve">s: imponer no sólo el déficit </w:t>
      </w:r>
      <w:r w:rsidR="00572374">
        <w:t>cero,</w:t>
      </w:r>
      <w:r w:rsidR="00463082">
        <w:t xml:space="preserve"> sino que también la emisión de dinero cero lo que significó que el final abrupto de la expansión monetaria y dar paso a una caída de demanda que convalidó lo ya se veía en el horizonte: recesión</w:t>
      </w:r>
      <w:r w:rsidR="000E1AE7">
        <w:t>. Continuidad</w:t>
      </w:r>
      <w:r w:rsidR="00B16B9B">
        <w:t>, a su vez, d</w:t>
      </w:r>
      <w:r w:rsidR="00572374">
        <w:t>e la que señalamos</w:t>
      </w:r>
      <w:r w:rsidR="00B31172">
        <w:t xml:space="preserve"> en el período anterior, </w:t>
      </w:r>
      <w:r w:rsidR="005E5CF1">
        <w:t xml:space="preserve">y que </w:t>
      </w:r>
      <w:r w:rsidR="00B31172">
        <w:t>impactó fuertemente en nuestros Asociados</w:t>
      </w:r>
    </w:p>
    <w:p w14:paraId="03AAF073" w14:textId="77777777" w:rsidR="003A69D3" w:rsidRDefault="003A69D3" w:rsidP="00463082"/>
    <w:p w14:paraId="0C5DC0B3" w14:textId="78B9942C" w:rsidR="003A69D3" w:rsidRDefault="003A69D3" w:rsidP="00463082">
      <w:r w:rsidRPr="003A69D3">
        <w:t>La industria manufacturera fue uno de los sectores más golpeados durante 2024. La actividad industrial disminuyó 9,4% en el año. La caída fue difundida en todos los bloques industriales, con la excepción de refinación de petróleo, aunque la magnitud del golpe fue heterogénea.</w:t>
      </w:r>
    </w:p>
    <w:p w14:paraId="4EB851ED" w14:textId="77777777" w:rsidR="00BA3295" w:rsidRDefault="00BA3295" w:rsidP="00463082"/>
    <w:p w14:paraId="3063C7DD" w14:textId="2C90FA86" w:rsidR="00B926BF" w:rsidRDefault="005E5585" w:rsidP="00811ADC">
      <w:r>
        <w:t xml:space="preserve">Esa recesión acompañó </w:t>
      </w:r>
      <w:r w:rsidR="000569AA">
        <w:t>prácticamente todo el Ejercicio y l</w:t>
      </w:r>
      <w:r w:rsidR="00811ADC">
        <w:t>ejos del rebote que se esperaba para la industria sobre el cierre del año pasado</w:t>
      </w:r>
      <w:r w:rsidR="005D6040">
        <w:t xml:space="preserve"> </w:t>
      </w:r>
      <w:r w:rsidR="00811ADC">
        <w:t>mostró dificultades para encontrar su piso</w:t>
      </w:r>
      <w:r w:rsidR="00F90809">
        <w:t>.</w:t>
      </w:r>
      <w:r w:rsidR="00581A45">
        <w:t xml:space="preserve"> </w:t>
      </w:r>
    </w:p>
    <w:p w14:paraId="6B6A3BBD" w14:textId="77777777" w:rsidR="00B926BF" w:rsidRDefault="00B926BF" w:rsidP="00811ADC"/>
    <w:p w14:paraId="394E6C76" w14:textId="7F4CF437" w:rsidR="006B003D" w:rsidRDefault="006B003D" w:rsidP="00811ADC">
      <w:r>
        <w:t>Al finalizar 2024</w:t>
      </w:r>
      <w:r w:rsidR="00A718AE">
        <w:t xml:space="preserve">, </w:t>
      </w:r>
      <w:r w:rsidRPr="006B003D">
        <w:t>el EMAE registró un incremento interanual del 0,1% y una suba mensual desestacionalizada del 0,9%. Estos números sugieren una recuperación general en el índice, pero un análisis más detallado revela profundas disparidades entre los sectores que componen la actividad económica</w:t>
      </w:r>
      <w:r w:rsidR="00E323E3">
        <w:t>, algunos de ellos con fuerte incidencia en el empleo</w:t>
      </w:r>
      <w:r w:rsidR="00D5171E">
        <w:t>.</w:t>
      </w:r>
    </w:p>
    <w:p w14:paraId="45A82A25" w14:textId="77777777" w:rsidR="00475E0F" w:rsidRDefault="00475E0F" w:rsidP="00811ADC"/>
    <w:p w14:paraId="42349E7C" w14:textId="1FAFE3CC" w:rsidR="0024054B" w:rsidRDefault="0024054B" w:rsidP="0024054B">
      <w:r>
        <w:t>El único bloque industrial que se mantuvo en terreno positivo fue el de refinación de petróleo.</w:t>
      </w:r>
      <w:r w:rsidR="00A578C6">
        <w:t xml:space="preserve"> </w:t>
      </w:r>
      <w:r>
        <w:t>Este sector registró un crecimiento del 2% en el año, impulsado por máximos históricos en la producción de petróleo y gas, desde 2004 y 2003 respectivamente. El crecimiento se dio a pesar de la pronunciada caída del subsector de asfaltos (-21% en el mismo período), la cual estuvo relacionada con la paralización de la obra pública.</w:t>
      </w:r>
    </w:p>
    <w:p w14:paraId="77B0C9DE" w14:textId="77777777" w:rsidR="0024054B" w:rsidRDefault="0024054B" w:rsidP="0024054B"/>
    <w:p w14:paraId="034929B8" w14:textId="77777777" w:rsidR="000A1AA5" w:rsidRDefault="0024054B" w:rsidP="0024054B">
      <w:r>
        <w:t xml:space="preserve">En tanto, el resto de los bloques industriales experimentaron retrocesos significativos. El más pronunciado fue el de minerales no metálicos (-24,3%), que produce materiales de construcción (como cemento, vidrio o cerámicos) y se vio muy afectado por la baja de la obra pública. </w:t>
      </w:r>
    </w:p>
    <w:p w14:paraId="2438FEEB" w14:textId="77777777" w:rsidR="000A1AA5" w:rsidRDefault="000A1AA5" w:rsidP="0024054B"/>
    <w:p w14:paraId="543D4D26" w14:textId="28D23B48" w:rsidR="0024054B" w:rsidRDefault="0024054B" w:rsidP="0024054B">
      <w:r>
        <w:t xml:space="preserve">Sectores como otros equipos, aparatos e instrumentos (-18%) y muebles, colchones y otras industrias manufactureras (-18,6%) se contrajeron sensiblemente dado que dependen casi exclusivamente de la demanda interna −que se contrajo a raíz de la caída del salario real− y, además, debido a que no son bienes de primera necesidad (lo que hace que, en momentos </w:t>
      </w:r>
      <w:r>
        <w:lastRenderedPageBreak/>
        <w:t>de caída del poder adquisitivo, se contraigan relativamente más). Maquinaria y equipo también presentó una importante contracción (-18,6%) vinculada a la menor inversión.</w:t>
      </w:r>
    </w:p>
    <w:p w14:paraId="4EC57C40" w14:textId="77777777" w:rsidR="0024054B" w:rsidRDefault="0024054B" w:rsidP="0024054B"/>
    <w:p w14:paraId="093C8E1A" w14:textId="77777777" w:rsidR="0024054B" w:rsidRDefault="0024054B" w:rsidP="0024054B">
      <w:r>
        <w:t>Por su parte, el principal bloque industrial, alimentos y bebidas, presentó una caída del 0,8% en 2024 a pesar del fuerte incremento del subsector de molienda (+47,5%) fruto de la normalización de la cosecha. Esto se debió a que hubo caídas en la gran mayoría de subsectores del bloque, destacándose por su relevancia las de carne vacuna (-2,8%), bebidas (-12,3%) y productos lácteos (-7,2%).</w:t>
      </w:r>
    </w:p>
    <w:p w14:paraId="73242FAB" w14:textId="77777777" w:rsidR="0024054B" w:rsidRDefault="0024054B" w:rsidP="0024054B"/>
    <w:p w14:paraId="5C0E2CF6" w14:textId="75E579B4" w:rsidR="00475E0F" w:rsidRDefault="0024054B" w:rsidP="0024054B">
      <w:r>
        <w:t xml:space="preserve">Si bien la contracción de la demanda interna fue el principal </w:t>
      </w:r>
      <w:r w:rsidR="0013204B">
        <w:t>fundamento</w:t>
      </w:r>
      <w:r>
        <w:t xml:space="preserve"> detrás del descenso de la mayoría de los sectores industriales, la mayor penetración de productos importados (debido a la apreciación cambiaria y la apertura comercial impulsada por el Gobierno para disciplinar el precio de los bienes) también tuvo efectos en la producción local. Un caso testigo es el automotriz: la participación de los vehículos de origen nacional en el mercado pasó del 67% en 2023 al 49% a fines de 2024.</w:t>
      </w:r>
    </w:p>
    <w:p w14:paraId="5E5E42B6" w14:textId="77777777" w:rsidR="00D15D8E" w:rsidRDefault="00D15D8E" w:rsidP="00811ADC"/>
    <w:p w14:paraId="05ED5C11" w14:textId="7A1E66D3" w:rsidR="00AA38D0" w:rsidRDefault="003D5977" w:rsidP="00811ADC">
      <w:r>
        <w:t>L</w:t>
      </w:r>
      <w:r w:rsidR="00054166" w:rsidRPr="00054166">
        <w:t xml:space="preserve">a estabilización macroeconómica es una condición </w:t>
      </w:r>
      <w:r w:rsidR="00BB4E4C">
        <w:t>necesaria pero no suficiente</w:t>
      </w:r>
      <w:r w:rsidR="00054166" w:rsidRPr="00054166">
        <w:t xml:space="preserve"> para el desarrollo de los sectores productivos, diversas medidas tomadas por el Ejecutivo están teniendo costos significativos sobre la estructura productiva y el crecimiento a largo plazo</w:t>
      </w:r>
      <w:r w:rsidR="008D304D">
        <w:t>.</w:t>
      </w:r>
    </w:p>
    <w:p w14:paraId="55A644D8" w14:textId="77777777" w:rsidR="00207112" w:rsidRDefault="00207112" w:rsidP="00811ADC"/>
    <w:p w14:paraId="3793F3D4" w14:textId="61C23C71" w:rsidR="001C4D3F" w:rsidRDefault="00996B90" w:rsidP="00811ADC">
      <w:r>
        <w:t xml:space="preserve">Así, </w:t>
      </w:r>
      <w:r w:rsidR="002B05E3" w:rsidRPr="002B05E3">
        <w:t>La suspensión de la obra pública impacta de manera directa en la infraestructura y la logística, elementos clave para la competitividad sistémica</w:t>
      </w:r>
      <w:r w:rsidR="007A70C5">
        <w:t>;</w:t>
      </w:r>
      <w:r w:rsidR="002B05E3">
        <w:t xml:space="preserve"> </w:t>
      </w:r>
      <w:r w:rsidR="007A70C5" w:rsidRPr="007A70C5">
        <w:t>los recortes en inversión en ciencia y tecnología comprometen la capacidad del país para generar innovación y fortalecer sectores de alto valor agregado, lo que debilita una inserción favorable en la economía global</w:t>
      </w:r>
      <w:r w:rsidR="007A70C5">
        <w:t>;</w:t>
      </w:r>
      <w:r w:rsidR="0080593E">
        <w:t xml:space="preserve"> </w:t>
      </w:r>
      <w:r w:rsidR="0080593E" w:rsidRPr="0080593E">
        <w:t xml:space="preserve">la eliminación por parte del Estado nacional de programas y </w:t>
      </w:r>
      <w:r w:rsidR="001C4D3F">
        <w:t>en particular la Línea de</w:t>
      </w:r>
      <w:r w:rsidR="007F4244">
        <w:t xml:space="preserve"> Financiamiento al</w:t>
      </w:r>
      <w:r w:rsidR="001C4D3F">
        <w:t xml:space="preserve"> Desarrollo Productivo PYME</w:t>
      </w:r>
      <w:r w:rsidR="007F4244">
        <w:t xml:space="preserve"> del Banco Central que era muy utilizada</w:t>
      </w:r>
      <w:r w:rsidR="001C4062">
        <w:t xml:space="preserve"> por el sector dado la tasa de interés preferencial</w:t>
      </w:r>
      <w:r w:rsidR="002E45FA">
        <w:t xml:space="preserve">  tanto para bienes de capital como para capital de trabajo.</w:t>
      </w:r>
    </w:p>
    <w:p w14:paraId="455389A0" w14:textId="77777777" w:rsidR="001C4D3F" w:rsidRDefault="001C4D3F" w:rsidP="00811ADC"/>
    <w:p w14:paraId="4DD35483" w14:textId="7ED73330" w:rsidR="006E0551" w:rsidRDefault="009947BE" w:rsidP="00811ADC">
      <w:r w:rsidRPr="009947BE">
        <w:t>La estrategia productiva del Gobierno actual se centra exclusivamente en los sectores basados en recursos naturales, buscando atraer inversiones a través de incentivos fiscales y regulatorios, como el Régimen de Incentivo a las Grandes Inversiones (RIGI)</w:t>
      </w:r>
      <w:r w:rsidR="00EA1413">
        <w:t>.</w:t>
      </w:r>
      <w:r w:rsidR="00B43C80">
        <w:t xml:space="preserve"> Al cierre del Ejercicio no se había concretado la presentación del Proyecto de un “RIGI”</w:t>
      </w:r>
      <w:r w:rsidR="00611113">
        <w:t xml:space="preserve"> orientado a PYMES tal como lo había comprometido el Gobierno.</w:t>
      </w:r>
    </w:p>
    <w:p w14:paraId="5E97A514" w14:textId="77777777" w:rsidR="002E6277" w:rsidRDefault="002E6277" w:rsidP="00811ADC"/>
    <w:p w14:paraId="5B2BA788" w14:textId="77777777" w:rsidR="00D7558D" w:rsidRDefault="001B2569" w:rsidP="001B2569">
      <w:r>
        <w:t>No obstante, la recupera</w:t>
      </w:r>
      <w:r w:rsidR="0027343C">
        <w:t>ción de la industria no es ajena al comportamiento del consumo y est</w:t>
      </w:r>
      <w:r w:rsidR="00D7558D">
        <w:t>e de los salarios.</w:t>
      </w:r>
    </w:p>
    <w:p w14:paraId="51C5DF28" w14:textId="77777777" w:rsidR="00D7558D" w:rsidRDefault="00D7558D" w:rsidP="001B2569"/>
    <w:p w14:paraId="6A7107A5" w14:textId="09C9C11A" w:rsidR="001B2569" w:rsidRDefault="001B2569" w:rsidP="001B2569">
      <w:r>
        <w:t>La dinámica salarial le pone un freno a la recuperación económica</w:t>
      </w:r>
      <w:r w:rsidR="00D7558D">
        <w:t xml:space="preserve"> dado que </w:t>
      </w:r>
      <w:r>
        <w:t>la recuperación de los últimos meses no parece ser lo necesariamente fuerte como para compensar las caídas previas. En ese sentido, puntualizaron sobre el poco impacto que está teniendo el rebote salarial sobre el consumo, al cual le está costando activarse.</w:t>
      </w:r>
      <w:r w:rsidR="00E84AC9">
        <w:t xml:space="preserve"> La razón esta débil recuperación se basa en la caída del denominado Ingreso Disponible que durante 2024 cayó aproximadamente un 15% </w:t>
      </w:r>
      <w:r w:rsidR="002E32CC">
        <w:t xml:space="preserve">en función de la mayor participación de los gastos </w:t>
      </w:r>
      <w:r w:rsidR="000C663B">
        <w:t>fijos (</w:t>
      </w:r>
      <w:r w:rsidR="002E32CC">
        <w:t>por tarifas públicas y otros servicios.</w:t>
      </w:r>
      <w:r w:rsidR="000C663B">
        <w:t>)</w:t>
      </w:r>
    </w:p>
    <w:p w14:paraId="14C63A52" w14:textId="77777777" w:rsidR="002E32CC" w:rsidRDefault="002E32CC" w:rsidP="001B2569"/>
    <w:p w14:paraId="30B75F0A" w14:textId="2DAF529C" w:rsidR="00965B71" w:rsidRDefault="001B2569" w:rsidP="001B2569">
      <w:r>
        <w:t xml:space="preserve">El INDEC señala que los salarios de los trabajadores formales en el sector privado ya se ubican apenas por encima del nivel heredado por la gestión anterior, mientras que los sueldos estatales todavía están un 14,5% por debajo. </w:t>
      </w:r>
      <w:r w:rsidR="00965B71">
        <w:t>Por otra parte</w:t>
      </w:r>
      <w:r w:rsidR="00532E54">
        <w:t>,</w:t>
      </w:r>
      <w:r w:rsidR="00965B71">
        <w:t xml:space="preserve"> no es menor el hecho que la economía informal contenga a</w:t>
      </w:r>
      <w:r w:rsidR="00A97CEE">
        <w:t>l 40/45% del empleo, situación que distorsiona y entor</w:t>
      </w:r>
      <w:r w:rsidR="002C17CC">
        <w:t>pece la recuperación del consumo</w:t>
      </w:r>
      <w:r w:rsidR="00FE445F">
        <w:t xml:space="preserve"> y el potencial financiamiento </w:t>
      </w:r>
      <w:r w:rsidR="00C748FD">
        <w:t>de este.</w:t>
      </w:r>
    </w:p>
    <w:p w14:paraId="780F22AD" w14:textId="77777777" w:rsidR="00044E72" w:rsidRDefault="00044E72" w:rsidP="00811ADC"/>
    <w:p w14:paraId="09C1D910" w14:textId="34C17D4D" w:rsidR="00044E72" w:rsidRDefault="00C748FD" w:rsidP="00811ADC">
      <w:r w:rsidRPr="00C748FD">
        <w:lastRenderedPageBreak/>
        <w:t>Frente a la mencionada heterogeneidad sectorial</w:t>
      </w:r>
      <w:r w:rsidR="0072051A">
        <w:t xml:space="preserve"> y la no transversalidad de esas mejoras</w:t>
      </w:r>
      <w:r w:rsidR="00A27D09">
        <w:t xml:space="preserve"> en la producción</w:t>
      </w:r>
      <w:r w:rsidRPr="00C748FD">
        <w:t xml:space="preserve">, </w:t>
      </w:r>
      <w:r w:rsidR="00EA590F">
        <w:t>la recuperación del empleo</w:t>
      </w:r>
      <w:r w:rsidR="003927DE">
        <w:t xml:space="preserve"> pierde dinamismo toda vez </w:t>
      </w:r>
      <w:r w:rsidR="00404376">
        <w:t xml:space="preserve">que </w:t>
      </w:r>
      <w:r w:rsidR="00970F4C">
        <w:t>los sectores dinámicos</w:t>
      </w:r>
      <w:r w:rsidRPr="00C748FD">
        <w:t xml:space="preserve"> que lideran el crecimiento (agro, energía y minería fundamentalmente) son poco intensivas en mano de obra</w:t>
      </w:r>
      <w:r w:rsidR="00970F4C">
        <w:t>.</w:t>
      </w:r>
    </w:p>
    <w:p w14:paraId="59C0E96B" w14:textId="77777777" w:rsidR="00044E72" w:rsidRDefault="00044E72" w:rsidP="00811ADC"/>
    <w:p w14:paraId="6F33F0FC" w14:textId="20730EF6" w:rsidR="00811ADC" w:rsidRDefault="002C08E2" w:rsidP="00811ADC">
      <w:r w:rsidRPr="002C08E2">
        <w:t>Al inicio de 2025 la situación no ha variado de modo sustancial. Sólo han mostrado variaciones positivas los sectores dinámicos tradicionales (agropecuario) y los seleccionados de modo prioritario de carácter extractivo (minería) y energía renovable</w:t>
      </w:r>
      <w:r w:rsidR="00F706A2">
        <w:t>.</w:t>
      </w:r>
    </w:p>
    <w:p w14:paraId="09C1718A" w14:textId="77777777" w:rsidR="00DD7942" w:rsidRDefault="00DD7942" w:rsidP="00811ADC"/>
    <w:p w14:paraId="189D4718" w14:textId="5EAEB555" w:rsidR="00811ADC" w:rsidRDefault="00DD7942" w:rsidP="00811ADC">
      <w:r w:rsidRPr="00DD7942">
        <w:t>Si bien en 2025 el salario real</w:t>
      </w:r>
      <w:r w:rsidR="00627F7B">
        <w:t xml:space="preserve"> (e</w:t>
      </w:r>
      <w:r w:rsidR="00627F7B" w:rsidRPr="00627F7B">
        <w:t>l índice de salarios subió 3,1% en diciembre de 2024</w:t>
      </w:r>
      <w:r w:rsidR="002771C9">
        <w:t xml:space="preserve"> </w:t>
      </w:r>
      <w:r w:rsidR="00627F7B" w:rsidRPr="00627F7B">
        <w:t>respecto del mes previo</w:t>
      </w:r>
      <w:r w:rsidR="009A1D29">
        <w:t>)</w:t>
      </w:r>
      <w:r w:rsidRPr="00DD7942">
        <w:t xml:space="preserve"> podría presentar una </w:t>
      </w:r>
      <w:r w:rsidR="002771C9">
        <w:t>recuperación a m</w:t>
      </w:r>
      <w:r w:rsidR="00C55977">
        <w:t>ediano plazo</w:t>
      </w:r>
      <w:r w:rsidRPr="00DD7942">
        <w:t>, lo que beneficiaría a los sectores industriales vinculados al mercado interno</w:t>
      </w:r>
      <w:r w:rsidR="004F5DF3">
        <w:t>.</w:t>
      </w:r>
    </w:p>
    <w:p w14:paraId="202B60FF" w14:textId="77777777" w:rsidR="009E7C98" w:rsidRDefault="009E7C98" w:rsidP="00811ADC"/>
    <w:p w14:paraId="52E28475" w14:textId="77777777" w:rsidR="00B43070" w:rsidRDefault="00463082" w:rsidP="00463082">
      <w:r>
        <w:t xml:space="preserve">No podemos dejar destacar que el Gobierno de LLA desarrolló una exitosa ingeniería para regularizar las deudas por importaciones y que, aunque no a la velocidad de nuestros deseos, lentamente se está normalizando el sistema de pagos de importaciones. </w:t>
      </w:r>
    </w:p>
    <w:p w14:paraId="453945E8" w14:textId="77777777" w:rsidR="00B43070" w:rsidRDefault="00B43070" w:rsidP="00463082"/>
    <w:p w14:paraId="08BE2E58" w14:textId="57006541" w:rsidR="00463082" w:rsidRDefault="00E25E27" w:rsidP="00463082">
      <w:r>
        <w:t xml:space="preserve">Sin embargo, </w:t>
      </w:r>
      <w:r w:rsidR="008E712D">
        <w:t xml:space="preserve">las condiciones de la política comercial (mayor apertura importadora) </w:t>
      </w:r>
      <w:r w:rsidR="009874B3">
        <w:t xml:space="preserve">hacen que </w:t>
      </w:r>
      <w:r w:rsidR="006B1DBB">
        <w:t>las deudas pendientes por importaciones de bienes y servicios se mantenga en niveles superiores a los</w:t>
      </w:r>
      <w:r w:rsidR="00766ED6">
        <w:t xml:space="preserve"> que normalmente el ciclo comercial genera</w:t>
      </w:r>
      <w:r w:rsidR="00A50C7D">
        <w:t xml:space="preserve"> dando paso a una presión cambiaria que hasta acá </w:t>
      </w:r>
      <w:proofErr w:type="spellStart"/>
      <w:r w:rsidR="00A50C7D">
        <w:t>esta</w:t>
      </w:r>
      <w:proofErr w:type="spellEnd"/>
      <w:r w:rsidR="00A50C7D">
        <w:t xml:space="preserve"> en control del Banco Central (por la existencia del cepo)</w:t>
      </w:r>
      <w:r w:rsidR="00CC4A5E">
        <w:t xml:space="preserve"> pero que -levantado este- la sustentabilidad del giro por importaciones será motivo</w:t>
      </w:r>
      <w:r w:rsidR="0027220F">
        <w:t xml:space="preserve"> de preocupación</w:t>
      </w:r>
    </w:p>
    <w:p w14:paraId="0304A7AF" w14:textId="77777777" w:rsidR="00463082" w:rsidRDefault="00463082" w:rsidP="00463082"/>
    <w:p w14:paraId="64A1A383" w14:textId="5FAD60ED" w:rsidR="00463082" w:rsidRDefault="00463082" w:rsidP="00463082">
      <w:r>
        <w:t xml:space="preserve">Así mismo, es destacar el éxito de la política antiinflacionaria que </w:t>
      </w:r>
      <w:r w:rsidR="00AD46BD">
        <w:t xml:space="preserve">desde el </w:t>
      </w:r>
      <w:r w:rsidR="005E1BE3">
        <w:t>inicio</w:t>
      </w:r>
      <w:r>
        <w:t xml:space="preserve"> del Ejercicio ya mostraba indicios claros de reducción tanto a nivel de precios minoristas como mayoristas. </w:t>
      </w:r>
    </w:p>
    <w:p w14:paraId="280AC89D" w14:textId="77777777" w:rsidR="00463082" w:rsidRDefault="00463082" w:rsidP="00463082"/>
    <w:p w14:paraId="20D125F1" w14:textId="77777777" w:rsidR="004902C9" w:rsidRDefault="00CF6885" w:rsidP="00463082">
      <w:r w:rsidRPr="00CF6885">
        <w:t xml:space="preserve">La desaceleración de la inflación es, sin dudas, una condición necesaria para un crecimiento sostenible de largo plazo ya que reduce la incertidumbre a la hora de atraer inversiones, favorece una mejor competitividad de los productos argentinos y contribuye a la reducción de la pobreza. </w:t>
      </w:r>
    </w:p>
    <w:p w14:paraId="069B2713" w14:textId="77777777" w:rsidR="004902C9" w:rsidRDefault="004902C9" w:rsidP="00463082"/>
    <w:p w14:paraId="0E6411AE" w14:textId="12A95E81" w:rsidR="00D50869" w:rsidRDefault="00CF6885" w:rsidP="00463082">
      <w:r w:rsidRPr="00CF6885">
        <w:t>Sin embargo, con la mera estabilización de la macroeconomía no alcanza para ser optimista en torno a un desarrollo productivo virtuoso, dado que hay varias políticas del Gobierno que van en dirección contraria.</w:t>
      </w:r>
    </w:p>
    <w:p w14:paraId="277E03AC" w14:textId="77777777" w:rsidR="00B43070" w:rsidRDefault="00B43070" w:rsidP="00463082"/>
    <w:p w14:paraId="124E038E" w14:textId="77777777" w:rsidR="00CB3070" w:rsidRDefault="00B43070" w:rsidP="00B43070">
      <w:r w:rsidRPr="00B43070">
        <w:t xml:space="preserve">Durante este período, la industria manufacturera argentina experimentó una fase de contracción severa en los primeros meses de 2024 debido al ajuste fiscal y macroeconómico impulsado por el gobierno de Javier Milei, con caídas acumuladas del 9,4% en el Índice de Producción Industrial Manufacturero (IPI) para todo 2024 según el INDEC. Esto se debió a la recesión inicial, mayor competencia de importaciones y caída del consumo interno. </w:t>
      </w:r>
    </w:p>
    <w:p w14:paraId="35578A8A" w14:textId="77777777" w:rsidR="00CB3070" w:rsidRDefault="00CB3070" w:rsidP="00B43070"/>
    <w:p w14:paraId="663327B8" w14:textId="77777777" w:rsidR="00CB3070" w:rsidRDefault="00B43070" w:rsidP="00B43070">
      <w:r w:rsidRPr="00B43070">
        <w:t xml:space="preserve">Sin embargo, desde mayo de 2024 se observó una recuperación gradual, con siete meses consecutivos de crecimiento interanual hasta noviembre, acumulando un +6,6% neto en ese lapso, impulsado por sectores como alimentos y bebidas. </w:t>
      </w:r>
    </w:p>
    <w:p w14:paraId="142EE21C" w14:textId="77777777" w:rsidR="00CB3070" w:rsidRDefault="00CB3070" w:rsidP="00B43070"/>
    <w:p w14:paraId="08EFB565" w14:textId="77777777" w:rsidR="00F473FA" w:rsidRDefault="00B43070" w:rsidP="00CB3070">
      <w:pPr>
        <w:tabs>
          <w:tab w:val="num" w:pos="720"/>
        </w:tabs>
      </w:pPr>
      <w:r w:rsidRPr="00B43070">
        <w:t xml:space="preserve">En 2025, el rebote continuó con variaciones positivas en enero y febrero (+5,6% y +0,5% desestacionalizado), pero mostró desaceleración en marzo (-4,5% mensual). El empleo industrial formal cayó alrededor de 25.000 puestos entre noviembre 2023 y 2024, con proyecciones de hasta 60.000 pérdidas en 2025 por </w:t>
      </w:r>
      <w:proofErr w:type="spellStart"/>
      <w:r w:rsidRPr="00B43070">
        <w:t>PyMEs</w:t>
      </w:r>
      <w:proofErr w:type="spellEnd"/>
      <w:r w:rsidRPr="00B43070">
        <w:t xml:space="preserve">. </w:t>
      </w:r>
    </w:p>
    <w:p w14:paraId="1EB8B390" w14:textId="77777777" w:rsidR="00F473FA" w:rsidRDefault="00F473FA" w:rsidP="00CB3070">
      <w:pPr>
        <w:tabs>
          <w:tab w:val="num" w:pos="720"/>
        </w:tabs>
      </w:pPr>
    </w:p>
    <w:p w14:paraId="79AE1731" w14:textId="6F0E9D62" w:rsidR="00B43070" w:rsidRDefault="00B43070" w:rsidP="00CB3070">
      <w:pPr>
        <w:tabs>
          <w:tab w:val="num" w:pos="720"/>
        </w:tabs>
      </w:pPr>
      <w:r w:rsidRPr="00B43070">
        <w:t xml:space="preserve">La utilización de capacidad instalada promedió el 57,6% en los primeros ocho meses de 2025, estancada en niveles bajos. Producción (IPI INDEC): Caída anual de -9,4% en 2024 (peor </w:t>
      </w:r>
      <w:r w:rsidRPr="00B43070">
        <w:lastRenderedPageBreak/>
        <w:t>desde 2002); acumulado enero-noviembre 2024: -1% interanual. En 2025: +5,2% en marzo vs. 2024, pero -1,1% en julio y -4,4% en agosto.</w:t>
      </w:r>
    </w:p>
    <w:p w14:paraId="7638D908" w14:textId="77777777" w:rsidR="003855AA" w:rsidRPr="00B43070" w:rsidRDefault="003855AA" w:rsidP="00CB3070">
      <w:pPr>
        <w:tabs>
          <w:tab w:val="num" w:pos="720"/>
        </w:tabs>
      </w:pPr>
    </w:p>
    <w:p w14:paraId="26BCB0AF" w14:textId="77777777" w:rsidR="00B43070" w:rsidRPr="00B43070" w:rsidRDefault="00B43070" w:rsidP="00B43070">
      <w:pPr>
        <w:numPr>
          <w:ilvl w:val="0"/>
          <w:numId w:val="3"/>
        </w:numPr>
      </w:pPr>
      <w:r w:rsidRPr="00B43070">
        <w:t xml:space="preserve">Empleo: Pérdida de 25.000 puestos formales en 2024; horas trabajadas -3,9% en Q3 2024. En </w:t>
      </w:r>
      <w:proofErr w:type="spellStart"/>
      <w:r w:rsidRPr="00B43070">
        <w:t>PyMEs</w:t>
      </w:r>
      <w:proofErr w:type="spellEnd"/>
      <w:r w:rsidRPr="00B43070">
        <w:t>, 72% ajustó personal en Q1 2025 (50% canceló horas extras, 32% despidos).</w:t>
      </w:r>
    </w:p>
    <w:p w14:paraId="2FD2E30C" w14:textId="77777777" w:rsidR="00B43070" w:rsidRPr="00B43070" w:rsidRDefault="00B43070" w:rsidP="00B43070">
      <w:pPr>
        <w:numPr>
          <w:ilvl w:val="0"/>
          <w:numId w:val="3"/>
        </w:numPr>
      </w:pPr>
      <w:r w:rsidRPr="00B43070">
        <w:t>Capacidad Instalada: 56,7% en diciembre 2024 (+1 p.p. vs. 2023); promedio 57,6% en enero-agosto 2025, con sectores como refinación de petróleo &gt;70% y textiles &lt;50%.</w:t>
      </w:r>
    </w:p>
    <w:p w14:paraId="485D030C" w14:textId="77777777" w:rsidR="00B43070" w:rsidRPr="00B43070" w:rsidRDefault="00B43070" w:rsidP="00B43070">
      <w:pPr>
        <w:numPr>
          <w:ilvl w:val="0"/>
          <w:numId w:val="3"/>
        </w:numPr>
      </w:pPr>
      <w:r w:rsidRPr="00B43070">
        <w:t>Sectores Clave: Alimentos y bebidas (+2,5% ponderado mayo-noviembre 2024); maquinaria (+31,3% diciembre 2024). Caídas en textiles (-26% fundición febrero 2025), automotriz (-50% en Santa Fe agosto 2025) y metalmecánico.</w:t>
      </w:r>
    </w:p>
    <w:p w14:paraId="334ACC56" w14:textId="77777777" w:rsidR="00B43070" w:rsidRPr="00B43070" w:rsidRDefault="00B43070" w:rsidP="00B43070">
      <w:pPr>
        <w:numPr>
          <w:ilvl w:val="0"/>
          <w:numId w:val="3"/>
        </w:numPr>
      </w:pPr>
      <w:r w:rsidRPr="00B43070">
        <w:t>Exportaciones Industriales: Crecimiento en minería (+44,7% acumulado enero-febrero 2025, US$782 millones), pero impacto negativo de importaciones chinas en siderurgia y cerámica.</w:t>
      </w:r>
    </w:p>
    <w:p w14:paraId="578DC513" w14:textId="77777777" w:rsidR="00B43070" w:rsidRPr="00B43070" w:rsidRDefault="00B43070" w:rsidP="00B43070">
      <w:pPr>
        <w:numPr>
          <w:ilvl w:val="0"/>
          <w:numId w:val="3"/>
        </w:numPr>
      </w:pPr>
      <w:r w:rsidRPr="00B43070">
        <w:t xml:space="preserve">Desafíos: Apreciación cambiaria, apertura importadora y recesión interna; 72% de </w:t>
      </w:r>
      <w:proofErr w:type="spellStart"/>
      <w:r w:rsidRPr="00B43070">
        <w:t>PyMEs</w:t>
      </w:r>
      <w:proofErr w:type="spellEnd"/>
      <w:r w:rsidRPr="00B43070">
        <w:t xml:space="preserve"> ve caída de mercado interno como limitante para 2025. Proyecciones: Crecimiento industrial 5-6% en 2025, pero no recupera lo perdido en 2024.</w:t>
      </w:r>
    </w:p>
    <w:p w14:paraId="2ECA3282" w14:textId="77777777" w:rsidR="003B0C42" w:rsidRDefault="003B0C42" w:rsidP="003B0C42"/>
    <w:p w14:paraId="6A970BFE" w14:textId="1E0067B1" w:rsidR="003B0C42" w:rsidRDefault="003B0C42" w:rsidP="003B0C42">
      <w:r w:rsidRPr="00DC18D2">
        <w:t>Eventos Clave</w:t>
      </w:r>
      <w:r>
        <w:t>s</w:t>
      </w:r>
      <w:r w:rsidRPr="00DC18D2">
        <w:t xml:space="preserve"> por Trimestre</w:t>
      </w:r>
    </w:p>
    <w:p w14:paraId="4C32E00F" w14:textId="77777777" w:rsidR="003B0C42" w:rsidRPr="00DC18D2" w:rsidRDefault="003B0C42" w:rsidP="003B0C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0"/>
        <w:gridCol w:w="1816"/>
        <w:gridCol w:w="3867"/>
        <w:gridCol w:w="2992"/>
      </w:tblGrid>
      <w:tr w:rsidR="003B0C42" w:rsidRPr="00892DA2" w14:paraId="082B4428" w14:textId="77777777" w:rsidTr="009977DC">
        <w:trPr>
          <w:trHeight w:val="170"/>
        </w:trPr>
        <w:tc>
          <w:tcPr>
            <w:tcW w:w="0" w:type="auto"/>
            <w:noWrap/>
            <w:vAlign w:val="center"/>
            <w:hideMark/>
          </w:tcPr>
          <w:p w14:paraId="3FB40656" w14:textId="77777777" w:rsidR="003B0C42" w:rsidRPr="00892DA2" w:rsidRDefault="003B0C42" w:rsidP="009977DC">
            <w:pPr>
              <w:jc w:val="center"/>
              <w:rPr>
                <w:b/>
                <w:bCs/>
                <w:sz w:val="20"/>
                <w:szCs w:val="20"/>
              </w:rPr>
            </w:pPr>
            <w:r w:rsidRPr="00892DA2">
              <w:rPr>
                <w:b/>
                <w:bCs/>
                <w:sz w:val="20"/>
                <w:szCs w:val="20"/>
              </w:rPr>
              <w:t>Trimestre</w:t>
            </w:r>
          </w:p>
        </w:tc>
        <w:tc>
          <w:tcPr>
            <w:tcW w:w="0" w:type="auto"/>
            <w:noWrap/>
            <w:vAlign w:val="center"/>
            <w:hideMark/>
          </w:tcPr>
          <w:p w14:paraId="7863DCC4" w14:textId="77777777" w:rsidR="003B0C42" w:rsidRPr="00892DA2" w:rsidRDefault="003B0C42" w:rsidP="009977DC">
            <w:pPr>
              <w:jc w:val="center"/>
              <w:rPr>
                <w:b/>
                <w:bCs/>
                <w:sz w:val="20"/>
                <w:szCs w:val="20"/>
              </w:rPr>
            </w:pPr>
            <w:r w:rsidRPr="00892DA2">
              <w:rPr>
                <w:b/>
                <w:bCs/>
                <w:sz w:val="20"/>
                <w:szCs w:val="20"/>
              </w:rPr>
              <w:t>Fecha Aproximada</w:t>
            </w:r>
          </w:p>
        </w:tc>
        <w:tc>
          <w:tcPr>
            <w:tcW w:w="0" w:type="auto"/>
            <w:noWrap/>
            <w:vAlign w:val="center"/>
            <w:hideMark/>
          </w:tcPr>
          <w:p w14:paraId="2A194F01" w14:textId="77777777" w:rsidR="003B0C42" w:rsidRPr="00892DA2" w:rsidRDefault="003B0C42" w:rsidP="009977DC">
            <w:pPr>
              <w:jc w:val="center"/>
              <w:rPr>
                <w:b/>
                <w:bCs/>
                <w:sz w:val="20"/>
                <w:szCs w:val="20"/>
              </w:rPr>
            </w:pPr>
            <w:r w:rsidRPr="00892DA2">
              <w:rPr>
                <w:b/>
                <w:bCs/>
                <w:sz w:val="20"/>
                <w:szCs w:val="20"/>
              </w:rPr>
              <w:t>Evento Principal</w:t>
            </w:r>
          </w:p>
        </w:tc>
        <w:tc>
          <w:tcPr>
            <w:tcW w:w="0" w:type="auto"/>
            <w:noWrap/>
            <w:vAlign w:val="center"/>
            <w:hideMark/>
          </w:tcPr>
          <w:p w14:paraId="27F8A052" w14:textId="77777777" w:rsidR="003B0C42" w:rsidRPr="00892DA2" w:rsidRDefault="003B0C42" w:rsidP="009977DC">
            <w:pPr>
              <w:jc w:val="center"/>
              <w:rPr>
                <w:b/>
                <w:bCs/>
                <w:sz w:val="20"/>
                <w:szCs w:val="20"/>
              </w:rPr>
            </w:pPr>
            <w:r w:rsidRPr="00892DA2">
              <w:rPr>
                <w:b/>
                <w:bCs/>
                <w:sz w:val="20"/>
                <w:szCs w:val="20"/>
              </w:rPr>
              <w:t>Impacto</w:t>
            </w:r>
          </w:p>
        </w:tc>
      </w:tr>
      <w:tr w:rsidR="003B0C42" w:rsidRPr="00892DA2" w14:paraId="064DA168" w14:textId="77777777" w:rsidTr="009977DC">
        <w:trPr>
          <w:trHeight w:val="227"/>
        </w:trPr>
        <w:tc>
          <w:tcPr>
            <w:tcW w:w="0" w:type="auto"/>
            <w:vAlign w:val="center"/>
            <w:hideMark/>
          </w:tcPr>
          <w:p w14:paraId="7EE26840" w14:textId="77777777" w:rsidR="003B0C42" w:rsidRPr="00892DA2" w:rsidRDefault="003B0C42" w:rsidP="009977DC">
            <w:pPr>
              <w:rPr>
                <w:sz w:val="20"/>
                <w:szCs w:val="20"/>
              </w:rPr>
            </w:pPr>
            <w:r w:rsidRPr="00892DA2">
              <w:rPr>
                <w:sz w:val="20"/>
                <w:szCs w:val="20"/>
              </w:rPr>
              <w:t>Abril-</w:t>
            </w:r>
            <w:proofErr w:type="gramStart"/>
            <w:r w:rsidRPr="00892DA2">
              <w:rPr>
                <w:sz w:val="20"/>
                <w:szCs w:val="20"/>
              </w:rPr>
              <w:t>Junio</w:t>
            </w:r>
            <w:proofErr w:type="gramEnd"/>
            <w:r w:rsidRPr="00892DA2">
              <w:rPr>
                <w:sz w:val="20"/>
                <w:szCs w:val="20"/>
              </w:rPr>
              <w:t xml:space="preserve"> 2024</w:t>
            </w:r>
          </w:p>
        </w:tc>
        <w:tc>
          <w:tcPr>
            <w:tcW w:w="0" w:type="auto"/>
            <w:vAlign w:val="center"/>
            <w:hideMark/>
          </w:tcPr>
          <w:p w14:paraId="4EC66885" w14:textId="77777777" w:rsidR="003B0C42" w:rsidRPr="00892DA2" w:rsidRDefault="003B0C42" w:rsidP="009977DC">
            <w:pPr>
              <w:rPr>
                <w:sz w:val="20"/>
                <w:szCs w:val="20"/>
              </w:rPr>
            </w:pPr>
            <w:r w:rsidRPr="00892DA2">
              <w:rPr>
                <w:sz w:val="20"/>
                <w:szCs w:val="20"/>
              </w:rPr>
              <w:t>Marzo-</w:t>
            </w:r>
            <w:proofErr w:type="gramStart"/>
            <w:r w:rsidRPr="00892DA2">
              <w:rPr>
                <w:sz w:val="20"/>
                <w:szCs w:val="20"/>
              </w:rPr>
              <w:t>Abril</w:t>
            </w:r>
            <w:proofErr w:type="gramEnd"/>
            <w:r w:rsidRPr="00892DA2">
              <w:rPr>
                <w:sz w:val="20"/>
                <w:szCs w:val="20"/>
              </w:rPr>
              <w:t xml:space="preserve"> 2024</w:t>
            </w:r>
          </w:p>
        </w:tc>
        <w:tc>
          <w:tcPr>
            <w:tcW w:w="0" w:type="auto"/>
            <w:vAlign w:val="center"/>
            <w:hideMark/>
          </w:tcPr>
          <w:p w14:paraId="2CA4872A" w14:textId="77777777" w:rsidR="003B0C42" w:rsidRPr="00892DA2" w:rsidRDefault="003B0C42" w:rsidP="009977DC">
            <w:pPr>
              <w:rPr>
                <w:sz w:val="20"/>
                <w:szCs w:val="20"/>
              </w:rPr>
            </w:pPr>
            <w:r w:rsidRPr="00892DA2">
              <w:rPr>
                <w:sz w:val="20"/>
                <w:szCs w:val="20"/>
              </w:rPr>
              <w:t>Pico de contracción: IPI -21,5% interanual en marzo; -14,2% en abril. Cierres y suspensiones en siderurgia (Acindar paraliza plantas) y papelera (Paysandú cierra, 65 despidos).</w:t>
            </w:r>
          </w:p>
        </w:tc>
        <w:tc>
          <w:tcPr>
            <w:tcW w:w="0" w:type="auto"/>
            <w:vAlign w:val="center"/>
            <w:hideMark/>
          </w:tcPr>
          <w:p w14:paraId="3EE22FB9" w14:textId="77777777" w:rsidR="003B0C42" w:rsidRPr="00892DA2" w:rsidRDefault="003B0C42" w:rsidP="009977DC">
            <w:pPr>
              <w:rPr>
                <w:sz w:val="20"/>
                <w:szCs w:val="20"/>
              </w:rPr>
            </w:pPr>
            <w:r w:rsidRPr="00892DA2">
              <w:rPr>
                <w:sz w:val="20"/>
                <w:szCs w:val="20"/>
              </w:rPr>
              <w:t>Pérdida de 6.800 empleos manufactureros (abril 2024-marzo 2025); construcción -16-40% vs. 2023. Utilización capacidad: 54-59%.</w:t>
            </w:r>
          </w:p>
        </w:tc>
      </w:tr>
      <w:tr w:rsidR="003B0C42" w:rsidRPr="00892DA2" w14:paraId="06D9B3CF" w14:textId="77777777" w:rsidTr="009977DC">
        <w:trPr>
          <w:trHeight w:val="227"/>
        </w:trPr>
        <w:tc>
          <w:tcPr>
            <w:tcW w:w="0" w:type="auto"/>
            <w:vAlign w:val="center"/>
            <w:hideMark/>
          </w:tcPr>
          <w:p w14:paraId="6B35B40C" w14:textId="77777777" w:rsidR="003B0C42" w:rsidRPr="00892DA2" w:rsidRDefault="003B0C42" w:rsidP="009977DC">
            <w:pPr>
              <w:rPr>
                <w:sz w:val="20"/>
                <w:szCs w:val="20"/>
              </w:rPr>
            </w:pPr>
            <w:r w:rsidRPr="00892DA2">
              <w:rPr>
                <w:sz w:val="20"/>
                <w:szCs w:val="20"/>
              </w:rPr>
              <w:t>Abril-</w:t>
            </w:r>
            <w:proofErr w:type="gramStart"/>
            <w:r w:rsidRPr="00892DA2">
              <w:rPr>
                <w:sz w:val="20"/>
                <w:szCs w:val="20"/>
              </w:rPr>
              <w:t>Junio</w:t>
            </w:r>
            <w:proofErr w:type="gramEnd"/>
            <w:r w:rsidRPr="00892DA2">
              <w:rPr>
                <w:sz w:val="20"/>
                <w:szCs w:val="20"/>
              </w:rPr>
              <w:t xml:space="preserve"> 2024</w:t>
            </w:r>
          </w:p>
        </w:tc>
        <w:tc>
          <w:tcPr>
            <w:tcW w:w="0" w:type="auto"/>
            <w:vAlign w:val="center"/>
            <w:hideMark/>
          </w:tcPr>
          <w:p w14:paraId="06492314" w14:textId="77777777" w:rsidR="003B0C42" w:rsidRPr="00892DA2" w:rsidRDefault="003B0C42" w:rsidP="009977DC">
            <w:pPr>
              <w:rPr>
                <w:sz w:val="20"/>
                <w:szCs w:val="20"/>
              </w:rPr>
            </w:pPr>
            <w:r w:rsidRPr="00892DA2">
              <w:rPr>
                <w:sz w:val="20"/>
                <w:szCs w:val="20"/>
              </w:rPr>
              <w:t>Mayo-</w:t>
            </w:r>
            <w:proofErr w:type="gramStart"/>
            <w:r w:rsidRPr="00892DA2">
              <w:rPr>
                <w:sz w:val="20"/>
                <w:szCs w:val="20"/>
              </w:rPr>
              <w:t>Junio</w:t>
            </w:r>
            <w:proofErr w:type="gramEnd"/>
            <w:r w:rsidRPr="00892DA2">
              <w:rPr>
                <w:sz w:val="20"/>
                <w:szCs w:val="20"/>
              </w:rPr>
              <w:t xml:space="preserve"> 2024</w:t>
            </w:r>
          </w:p>
        </w:tc>
        <w:tc>
          <w:tcPr>
            <w:tcW w:w="0" w:type="auto"/>
            <w:vAlign w:val="center"/>
            <w:hideMark/>
          </w:tcPr>
          <w:p w14:paraId="3ED36D57" w14:textId="77777777" w:rsidR="003B0C42" w:rsidRPr="00892DA2" w:rsidRDefault="003B0C42" w:rsidP="009977DC">
            <w:pPr>
              <w:rPr>
                <w:sz w:val="20"/>
                <w:szCs w:val="20"/>
              </w:rPr>
            </w:pPr>
            <w:r w:rsidRPr="00892DA2">
              <w:rPr>
                <w:sz w:val="20"/>
                <w:szCs w:val="20"/>
              </w:rPr>
              <w:t>Inicio de recuperación: +7% mensual en julio (mayor desde 2020). Alimentos y bebidas tracciona (+2,5% ponderado).</w:t>
            </w:r>
          </w:p>
        </w:tc>
        <w:tc>
          <w:tcPr>
            <w:tcW w:w="0" w:type="auto"/>
            <w:vAlign w:val="center"/>
            <w:hideMark/>
          </w:tcPr>
          <w:p w14:paraId="5016697D" w14:textId="77777777" w:rsidR="003B0C42" w:rsidRPr="00892DA2" w:rsidRDefault="003B0C42" w:rsidP="009977DC">
            <w:pPr>
              <w:rPr>
                <w:sz w:val="20"/>
                <w:szCs w:val="20"/>
              </w:rPr>
            </w:pPr>
            <w:r w:rsidRPr="00892DA2">
              <w:rPr>
                <w:sz w:val="20"/>
                <w:szCs w:val="20"/>
              </w:rPr>
              <w:t>Crecimiento neto +6,6% mayo-noviembre; expectativas industriales mejoran por demanda exportadora.</w:t>
            </w:r>
          </w:p>
        </w:tc>
      </w:tr>
      <w:tr w:rsidR="003B0C42" w:rsidRPr="00892DA2" w14:paraId="1ED9E861" w14:textId="77777777" w:rsidTr="009977DC">
        <w:trPr>
          <w:trHeight w:val="227"/>
        </w:trPr>
        <w:tc>
          <w:tcPr>
            <w:tcW w:w="0" w:type="auto"/>
            <w:vAlign w:val="center"/>
            <w:hideMark/>
          </w:tcPr>
          <w:p w14:paraId="68D3C60B" w14:textId="77777777" w:rsidR="003B0C42" w:rsidRPr="00892DA2" w:rsidRDefault="003B0C42" w:rsidP="009977DC">
            <w:pPr>
              <w:rPr>
                <w:sz w:val="20"/>
                <w:szCs w:val="20"/>
              </w:rPr>
            </w:pPr>
            <w:r w:rsidRPr="00892DA2">
              <w:rPr>
                <w:sz w:val="20"/>
                <w:szCs w:val="20"/>
              </w:rPr>
              <w:t>Julio-</w:t>
            </w:r>
            <w:proofErr w:type="gramStart"/>
            <w:r w:rsidRPr="00892DA2">
              <w:rPr>
                <w:sz w:val="20"/>
                <w:szCs w:val="20"/>
              </w:rPr>
              <w:t>Septiembre</w:t>
            </w:r>
            <w:proofErr w:type="gramEnd"/>
            <w:r w:rsidRPr="00892DA2">
              <w:rPr>
                <w:sz w:val="20"/>
                <w:szCs w:val="20"/>
              </w:rPr>
              <w:t xml:space="preserve"> 2024</w:t>
            </w:r>
          </w:p>
        </w:tc>
        <w:tc>
          <w:tcPr>
            <w:tcW w:w="0" w:type="auto"/>
            <w:vAlign w:val="center"/>
            <w:hideMark/>
          </w:tcPr>
          <w:p w14:paraId="1F617687" w14:textId="77777777" w:rsidR="003B0C42" w:rsidRPr="00892DA2" w:rsidRDefault="003B0C42" w:rsidP="009977DC">
            <w:pPr>
              <w:rPr>
                <w:sz w:val="20"/>
                <w:szCs w:val="20"/>
              </w:rPr>
            </w:pPr>
            <w:r w:rsidRPr="00892DA2">
              <w:rPr>
                <w:sz w:val="20"/>
                <w:szCs w:val="20"/>
              </w:rPr>
              <w:t>Septiembre 2024</w:t>
            </w:r>
          </w:p>
        </w:tc>
        <w:tc>
          <w:tcPr>
            <w:tcW w:w="0" w:type="auto"/>
            <w:vAlign w:val="center"/>
            <w:hideMark/>
          </w:tcPr>
          <w:p w14:paraId="790CED69" w14:textId="77777777" w:rsidR="003B0C42" w:rsidRPr="00892DA2" w:rsidRDefault="003B0C42" w:rsidP="009977DC">
            <w:pPr>
              <w:rPr>
                <w:sz w:val="20"/>
                <w:szCs w:val="20"/>
              </w:rPr>
            </w:pPr>
            <w:r w:rsidRPr="00892DA2">
              <w:rPr>
                <w:sz w:val="20"/>
                <w:szCs w:val="20"/>
              </w:rPr>
              <w:t>Tres subas consecutivas: +5,6% en febrero 2025 (efecto retroactivo). Despachos cemento +17,1%.</w:t>
            </w:r>
          </w:p>
        </w:tc>
        <w:tc>
          <w:tcPr>
            <w:tcW w:w="0" w:type="auto"/>
            <w:vAlign w:val="center"/>
            <w:hideMark/>
          </w:tcPr>
          <w:p w14:paraId="7FFCC336" w14:textId="77777777" w:rsidR="003B0C42" w:rsidRPr="00892DA2" w:rsidRDefault="003B0C42" w:rsidP="009977DC">
            <w:pPr>
              <w:rPr>
                <w:sz w:val="20"/>
                <w:szCs w:val="20"/>
              </w:rPr>
            </w:pPr>
            <w:r w:rsidRPr="00892DA2">
              <w:rPr>
                <w:sz w:val="20"/>
                <w:szCs w:val="20"/>
              </w:rPr>
              <w:t xml:space="preserve">Recuperación en maquinaria (+31,3%) y químicos (+7,7%); </w:t>
            </w:r>
            <w:proofErr w:type="spellStart"/>
            <w:r w:rsidRPr="00892DA2">
              <w:rPr>
                <w:sz w:val="20"/>
                <w:szCs w:val="20"/>
              </w:rPr>
              <w:t>PyMEs</w:t>
            </w:r>
            <w:proofErr w:type="spellEnd"/>
            <w:r w:rsidRPr="00892DA2">
              <w:rPr>
                <w:sz w:val="20"/>
                <w:szCs w:val="20"/>
              </w:rPr>
              <w:t xml:space="preserve"> textiles caen por insumos y políticas sectoriales.</w:t>
            </w:r>
          </w:p>
        </w:tc>
      </w:tr>
      <w:tr w:rsidR="003B0C42" w:rsidRPr="00892DA2" w14:paraId="5182A2D5" w14:textId="77777777" w:rsidTr="009977DC">
        <w:trPr>
          <w:trHeight w:val="227"/>
        </w:trPr>
        <w:tc>
          <w:tcPr>
            <w:tcW w:w="0" w:type="auto"/>
            <w:vAlign w:val="center"/>
            <w:hideMark/>
          </w:tcPr>
          <w:p w14:paraId="28B48B29" w14:textId="77777777" w:rsidR="003B0C42" w:rsidRPr="00892DA2" w:rsidRDefault="003B0C42" w:rsidP="009977DC">
            <w:pPr>
              <w:rPr>
                <w:sz w:val="20"/>
                <w:szCs w:val="20"/>
              </w:rPr>
            </w:pPr>
            <w:r w:rsidRPr="00892DA2">
              <w:rPr>
                <w:sz w:val="20"/>
                <w:szCs w:val="20"/>
              </w:rPr>
              <w:t>Octubre-</w:t>
            </w:r>
            <w:proofErr w:type="gramStart"/>
            <w:r w:rsidRPr="00892DA2">
              <w:rPr>
                <w:sz w:val="20"/>
                <w:szCs w:val="20"/>
              </w:rPr>
              <w:t>Diciembre</w:t>
            </w:r>
            <w:proofErr w:type="gramEnd"/>
            <w:r w:rsidRPr="00892DA2">
              <w:rPr>
                <w:sz w:val="20"/>
                <w:szCs w:val="20"/>
              </w:rPr>
              <w:t xml:space="preserve"> 2024</w:t>
            </w:r>
          </w:p>
        </w:tc>
        <w:tc>
          <w:tcPr>
            <w:tcW w:w="0" w:type="auto"/>
            <w:vAlign w:val="center"/>
            <w:hideMark/>
          </w:tcPr>
          <w:p w14:paraId="314B6708" w14:textId="77777777" w:rsidR="003B0C42" w:rsidRPr="00892DA2" w:rsidRDefault="003B0C42" w:rsidP="009977DC">
            <w:pPr>
              <w:rPr>
                <w:sz w:val="20"/>
                <w:szCs w:val="20"/>
              </w:rPr>
            </w:pPr>
            <w:r w:rsidRPr="00892DA2">
              <w:rPr>
                <w:sz w:val="20"/>
                <w:szCs w:val="20"/>
              </w:rPr>
              <w:t>Diciembre 2024</w:t>
            </w:r>
          </w:p>
        </w:tc>
        <w:tc>
          <w:tcPr>
            <w:tcW w:w="0" w:type="auto"/>
            <w:vAlign w:val="center"/>
            <w:hideMark/>
          </w:tcPr>
          <w:p w14:paraId="34BC6E28" w14:textId="77777777" w:rsidR="003B0C42" w:rsidRPr="00892DA2" w:rsidRDefault="003B0C42" w:rsidP="009977DC">
            <w:pPr>
              <w:rPr>
                <w:sz w:val="20"/>
                <w:szCs w:val="20"/>
              </w:rPr>
            </w:pPr>
            <w:r w:rsidRPr="00892DA2">
              <w:rPr>
                <w:sz w:val="20"/>
                <w:szCs w:val="20"/>
              </w:rPr>
              <w:t>Cierre con rebote: IPI +8,4% interanual; 12/16 divisiones suben (prendas +20,6%, muebles +33,4%).</w:t>
            </w:r>
          </w:p>
        </w:tc>
        <w:tc>
          <w:tcPr>
            <w:tcW w:w="0" w:type="auto"/>
            <w:vAlign w:val="center"/>
            <w:hideMark/>
          </w:tcPr>
          <w:p w14:paraId="3BDABC9D" w14:textId="77777777" w:rsidR="003B0C42" w:rsidRPr="00892DA2" w:rsidRDefault="003B0C42" w:rsidP="009977DC">
            <w:pPr>
              <w:rPr>
                <w:sz w:val="20"/>
                <w:szCs w:val="20"/>
              </w:rPr>
            </w:pPr>
            <w:r w:rsidRPr="00892DA2">
              <w:rPr>
                <w:sz w:val="20"/>
                <w:szCs w:val="20"/>
              </w:rPr>
              <w:t>Acumulado 2024: -9,4%; arrastre estadístico +4% para 2025. Pérdida 35.000 empleos desde agosto 2023.</w:t>
            </w:r>
          </w:p>
        </w:tc>
      </w:tr>
      <w:tr w:rsidR="003B0C42" w:rsidRPr="00892DA2" w14:paraId="45093AA8" w14:textId="77777777" w:rsidTr="009977DC">
        <w:trPr>
          <w:trHeight w:val="227"/>
        </w:trPr>
        <w:tc>
          <w:tcPr>
            <w:tcW w:w="0" w:type="auto"/>
            <w:vAlign w:val="center"/>
            <w:hideMark/>
          </w:tcPr>
          <w:p w14:paraId="1BADB061" w14:textId="77777777" w:rsidR="003B0C42" w:rsidRPr="00892DA2" w:rsidRDefault="003B0C42" w:rsidP="009977DC">
            <w:pPr>
              <w:rPr>
                <w:sz w:val="20"/>
                <w:szCs w:val="20"/>
              </w:rPr>
            </w:pPr>
            <w:r w:rsidRPr="00892DA2">
              <w:rPr>
                <w:sz w:val="20"/>
                <w:szCs w:val="20"/>
              </w:rPr>
              <w:t>Enero-</w:t>
            </w:r>
            <w:proofErr w:type="gramStart"/>
            <w:r w:rsidRPr="00892DA2">
              <w:rPr>
                <w:sz w:val="20"/>
                <w:szCs w:val="20"/>
              </w:rPr>
              <w:t>Marzo</w:t>
            </w:r>
            <w:proofErr w:type="gramEnd"/>
            <w:r w:rsidRPr="00892DA2">
              <w:rPr>
                <w:sz w:val="20"/>
                <w:szCs w:val="20"/>
              </w:rPr>
              <w:t xml:space="preserve"> 2025</w:t>
            </w:r>
          </w:p>
        </w:tc>
        <w:tc>
          <w:tcPr>
            <w:tcW w:w="0" w:type="auto"/>
            <w:vAlign w:val="center"/>
            <w:hideMark/>
          </w:tcPr>
          <w:p w14:paraId="71543B66" w14:textId="77777777" w:rsidR="003B0C42" w:rsidRPr="00892DA2" w:rsidRDefault="003B0C42" w:rsidP="009977DC">
            <w:pPr>
              <w:rPr>
                <w:sz w:val="20"/>
                <w:szCs w:val="20"/>
              </w:rPr>
            </w:pPr>
            <w:r w:rsidRPr="00892DA2">
              <w:rPr>
                <w:sz w:val="20"/>
                <w:szCs w:val="20"/>
              </w:rPr>
              <w:t>Enero-</w:t>
            </w:r>
            <w:proofErr w:type="gramStart"/>
            <w:r w:rsidRPr="00892DA2">
              <w:rPr>
                <w:sz w:val="20"/>
                <w:szCs w:val="20"/>
              </w:rPr>
              <w:t>Febrero</w:t>
            </w:r>
            <w:proofErr w:type="gramEnd"/>
            <w:r w:rsidRPr="00892DA2">
              <w:rPr>
                <w:sz w:val="20"/>
                <w:szCs w:val="20"/>
              </w:rPr>
              <w:t xml:space="preserve"> 2025</w:t>
            </w:r>
          </w:p>
        </w:tc>
        <w:tc>
          <w:tcPr>
            <w:tcW w:w="0" w:type="auto"/>
            <w:vAlign w:val="center"/>
            <w:hideMark/>
          </w:tcPr>
          <w:p w14:paraId="4777A0CE" w14:textId="77777777" w:rsidR="003B0C42" w:rsidRPr="00892DA2" w:rsidRDefault="003B0C42" w:rsidP="009977DC">
            <w:pPr>
              <w:rPr>
                <w:sz w:val="20"/>
                <w:szCs w:val="20"/>
              </w:rPr>
            </w:pPr>
            <w:r w:rsidRPr="00892DA2">
              <w:rPr>
                <w:sz w:val="20"/>
                <w:szCs w:val="20"/>
              </w:rPr>
              <w:t xml:space="preserve">EMAE industrial +6,5% enero; IPI +0,5% desestacionalizado febrero. Automotriz y </w:t>
            </w:r>
            <w:proofErr w:type="gramStart"/>
            <w:r w:rsidRPr="00892DA2">
              <w:rPr>
                <w:sz w:val="20"/>
                <w:szCs w:val="20"/>
              </w:rPr>
              <w:t>construcción positivas</w:t>
            </w:r>
            <w:proofErr w:type="gramEnd"/>
            <w:r w:rsidRPr="00892DA2">
              <w:rPr>
                <w:sz w:val="20"/>
                <w:szCs w:val="20"/>
              </w:rPr>
              <w:t xml:space="preserve"> en abril (efecto Q1).</w:t>
            </w:r>
          </w:p>
        </w:tc>
        <w:tc>
          <w:tcPr>
            <w:tcW w:w="0" w:type="auto"/>
            <w:vAlign w:val="center"/>
            <w:hideMark/>
          </w:tcPr>
          <w:p w14:paraId="5360D647" w14:textId="77777777" w:rsidR="003B0C42" w:rsidRPr="00892DA2" w:rsidRDefault="003B0C42" w:rsidP="009977DC">
            <w:pPr>
              <w:rPr>
                <w:sz w:val="20"/>
                <w:szCs w:val="20"/>
              </w:rPr>
            </w:pPr>
            <w:r w:rsidRPr="00892DA2">
              <w:rPr>
                <w:sz w:val="20"/>
                <w:szCs w:val="20"/>
              </w:rPr>
              <w:t>Exportaciones mineras récord (US$782M, +44,7%); salario industrial +17% vs. privado, pero brechas (petróleo x4 maderero).</w:t>
            </w:r>
          </w:p>
        </w:tc>
      </w:tr>
      <w:tr w:rsidR="003B0C42" w:rsidRPr="00892DA2" w14:paraId="0B9DBC5A" w14:textId="77777777" w:rsidTr="009977DC">
        <w:trPr>
          <w:trHeight w:val="227"/>
        </w:trPr>
        <w:tc>
          <w:tcPr>
            <w:tcW w:w="0" w:type="auto"/>
            <w:vAlign w:val="center"/>
            <w:hideMark/>
          </w:tcPr>
          <w:p w14:paraId="0E1C2935" w14:textId="77777777" w:rsidR="003B0C42" w:rsidRPr="00892DA2" w:rsidRDefault="003B0C42" w:rsidP="009977DC">
            <w:pPr>
              <w:rPr>
                <w:sz w:val="20"/>
                <w:szCs w:val="20"/>
              </w:rPr>
            </w:pPr>
            <w:r w:rsidRPr="00892DA2">
              <w:rPr>
                <w:sz w:val="20"/>
                <w:szCs w:val="20"/>
              </w:rPr>
              <w:t>Enero-</w:t>
            </w:r>
            <w:proofErr w:type="gramStart"/>
            <w:r w:rsidRPr="00892DA2">
              <w:rPr>
                <w:sz w:val="20"/>
                <w:szCs w:val="20"/>
              </w:rPr>
              <w:t>Marzo</w:t>
            </w:r>
            <w:proofErr w:type="gramEnd"/>
            <w:r w:rsidRPr="00892DA2">
              <w:rPr>
                <w:sz w:val="20"/>
                <w:szCs w:val="20"/>
              </w:rPr>
              <w:t xml:space="preserve"> 2025</w:t>
            </w:r>
          </w:p>
        </w:tc>
        <w:tc>
          <w:tcPr>
            <w:tcW w:w="0" w:type="auto"/>
            <w:vAlign w:val="center"/>
            <w:hideMark/>
          </w:tcPr>
          <w:p w14:paraId="6965987D" w14:textId="77777777" w:rsidR="003B0C42" w:rsidRPr="00892DA2" w:rsidRDefault="003B0C42" w:rsidP="009977DC">
            <w:pPr>
              <w:rPr>
                <w:sz w:val="20"/>
                <w:szCs w:val="20"/>
              </w:rPr>
            </w:pPr>
            <w:r w:rsidRPr="00892DA2">
              <w:rPr>
                <w:sz w:val="20"/>
                <w:szCs w:val="20"/>
              </w:rPr>
              <w:t>Marzo 2025</w:t>
            </w:r>
          </w:p>
        </w:tc>
        <w:tc>
          <w:tcPr>
            <w:tcW w:w="0" w:type="auto"/>
            <w:vAlign w:val="center"/>
            <w:hideMark/>
          </w:tcPr>
          <w:p w14:paraId="7997E320" w14:textId="77777777" w:rsidR="003B0C42" w:rsidRPr="00892DA2" w:rsidRDefault="003B0C42" w:rsidP="009977DC">
            <w:pPr>
              <w:rPr>
                <w:sz w:val="20"/>
                <w:szCs w:val="20"/>
              </w:rPr>
            </w:pPr>
            <w:r w:rsidRPr="00892DA2">
              <w:rPr>
                <w:sz w:val="20"/>
                <w:szCs w:val="20"/>
              </w:rPr>
              <w:t>Desaceleración: IPI -4,5% mensual; +5,2% interanual. Caída en industria y construcción &gt;4%.</w:t>
            </w:r>
          </w:p>
        </w:tc>
        <w:tc>
          <w:tcPr>
            <w:tcW w:w="0" w:type="auto"/>
            <w:vAlign w:val="center"/>
            <w:hideMark/>
          </w:tcPr>
          <w:p w14:paraId="52F13C28" w14:textId="77777777" w:rsidR="003B0C42" w:rsidRPr="00892DA2" w:rsidRDefault="003B0C42" w:rsidP="009977DC">
            <w:pPr>
              <w:rPr>
                <w:sz w:val="20"/>
                <w:szCs w:val="20"/>
              </w:rPr>
            </w:pPr>
            <w:r w:rsidRPr="00892DA2">
              <w:rPr>
                <w:sz w:val="20"/>
                <w:szCs w:val="20"/>
              </w:rPr>
              <w:t>Salario real formal -0,8%; pobreza industrial persiste, pero proyecciones FMI +5,7% PIB 2025 impulsan sector.</w:t>
            </w:r>
          </w:p>
        </w:tc>
      </w:tr>
    </w:tbl>
    <w:p w14:paraId="3851C6FB" w14:textId="77777777" w:rsidR="003B0C42" w:rsidRDefault="003B0C42" w:rsidP="003B0C42"/>
    <w:p w14:paraId="3D4F78CD" w14:textId="6C529CAF" w:rsidR="003B0C42" w:rsidRPr="00242702" w:rsidRDefault="003B0C42" w:rsidP="00681C82">
      <w:pPr>
        <w:rPr>
          <w:b/>
          <w:bCs/>
        </w:rPr>
      </w:pPr>
      <w:r w:rsidRPr="00242702">
        <w:rPr>
          <w:b/>
          <w:bCs/>
        </w:rPr>
        <w:t>Desafíos y Perspectivas</w:t>
      </w:r>
    </w:p>
    <w:p w14:paraId="2D416059" w14:textId="77777777" w:rsidR="00681C82" w:rsidRPr="00DC18D2" w:rsidRDefault="00681C82" w:rsidP="00681C82"/>
    <w:p w14:paraId="2CDA1B7A" w14:textId="77777777" w:rsidR="003B0C42" w:rsidRPr="00DC18D2" w:rsidRDefault="003B0C42" w:rsidP="00681C82">
      <w:pPr>
        <w:numPr>
          <w:ilvl w:val="0"/>
          <w:numId w:val="4"/>
        </w:numPr>
        <w:spacing w:after="160" w:line="259" w:lineRule="auto"/>
      </w:pPr>
      <w:r w:rsidRPr="00DC18D2">
        <w:t xml:space="preserve">Positivos: Recuperación en sectores exportadores (minería +9,8% febrero 2025; </w:t>
      </w:r>
      <w:proofErr w:type="gramStart"/>
      <w:r w:rsidRPr="00DC18D2">
        <w:t>alimentos líder</w:t>
      </w:r>
      <w:proofErr w:type="gramEnd"/>
      <w:r w:rsidRPr="00DC18D2">
        <w:t>). Expectativas: Índice de difusión sube a 67% noviembre 2024. Proyecciones UIA: +5-6% en 2025, con foco en RIGI para inversiones.</w:t>
      </w:r>
    </w:p>
    <w:p w14:paraId="1013746E" w14:textId="77777777" w:rsidR="00242702" w:rsidRDefault="003B0C42" w:rsidP="002E7F1A">
      <w:pPr>
        <w:numPr>
          <w:ilvl w:val="0"/>
          <w:numId w:val="4"/>
        </w:numPr>
        <w:spacing w:after="160" w:line="259" w:lineRule="auto"/>
      </w:pPr>
      <w:r w:rsidRPr="00DC18D2">
        <w:t xml:space="preserve">Riesgos: Desindustrialización continua (PIB industrial -2,6 p.p. 2022-2025); 49% </w:t>
      </w:r>
      <w:proofErr w:type="spellStart"/>
      <w:r w:rsidRPr="00DC18D2">
        <w:t>PyMEs</w:t>
      </w:r>
      <w:proofErr w:type="spellEnd"/>
      <w:r w:rsidRPr="00DC18D2">
        <w:t xml:space="preserve"> espera empeoramiento 2025; informalidad y volatilidad cambiaria. </w:t>
      </w:r>
    </w:p>
    <w:p w14:paraId="5367ACAB" w14:textId="77777777" w:rsidR="00242702" w:rsidRDefault="00242702" w:rsidP="00242702">
      <w:pPr>
        <w:spacing w:after="160" w:line="259" w:lineRule="auto"/>
        <w:ind w:left="360"/>
      </w:pPr>
    </w:p>
    <w:p w14:paraId="29618C15" w14:textId="55665F6D" w:rsidR="0074749C" w:rsidRDefault="003C513C" w:rsidP="00242702">
      <w:pPr>
        <w:spacing w:after="160" w:line="259" w:lineRule="auto"/>
        <w:ind w:left="360"/>
      </w:pPr>
      <w:r>
        <w:t>El 2025</w:t>
      </w:r>
      <w:r w:rsidR="00AF263E">
        <w:t xml:space="preserve"> deja pregunta</w:t>
      </w:r>
      <w:r w:rsidR="00C6210F">
        <w:t>s</w:t>
      </w:r>
      <w:r w:rsidR="00AF263E">
        <w:t xml:space="preserve"> </w:t>
      </w:r>
      <w:r w:rsidR="004F05D5">
        <w:t>s</w:t>
      </w:r>
      <w:r w:rsidR="00AF263E">
        <w:t xml:space="preserve">obre la cual aún no hay respuesta: </w:t>
      </w:r>
      <w:r w:rsidR="0023684B">
        <w:t xml:space="preserve">¿en qué momento </w:t>
      </w:r>
      <w:r w:rsidR="004163B0">
        <w:t xml:space="preserve">los éxitos de la política macroeconómica se </w:t>
      </w:r>
      <w:r w:rsidR="0084623E">
        <w:t>reflejarán</w:t>
      </w:r>
      <w:r w:rsidR="00166CE1">
        <w:t xml:space="preserve"> en la microeconomía?</w:t>
      </w:r>
      <w:r w:rsidR="00C6210F">
        <w:t xml:space="preserve"> ¿cuál será el momento y el modo del acople entre</w:t>
      </w:r>
      <w:r w:rsidR="0084623E">
        <w:t xml:space="preserve"> los éxitos </w:t>
      </w:r>
      <w:r w:rsidR="00782BBA">
        <w:t xml:space="preserve">indudables de la lucha contra la inflación </w:t>
      </w:r>
      <w:r w:rsidR="00FE7E91">
        <w:t>habrán de manifestarse en la actividad económica dejando atrás la recesión, la pérdida de competitividad</w:t>
      </w:r>
      <w:r w:rsidR="00A1538B">
        <w:t xml:space="preserve"> y las limitaciones que expresa hoy el mercado interno?</w:t>
      </w:r>
      <w:r w:rsidR="00BE18DD">
        <w:t xml:space="preserve"> </w:t>
      </w:r>
      <w:r w:rsidR="004F05D5">
        <w:t>¿</w:t>
      </w:r>
      <w:r w:rsidRPr="003C513C">
        <w:t xml:space="preserve">cuándo se saldrá del cepo, si antes o después de las elecciones de octubre, y qué pasará </w:t>
      </w:r>
      <w:r w:rsidR="00400EE3">
        <w:t>con la política cambiaria</w:t>
      </w:r>
      <w:r w:rsidRPr="003C513C">
        <w:t xml:space="preserve"> cuando se levanten las restricciones</w:t>
      </w:r>
      <w:r w:rsidR="003023ED">
        <w:t>?</w:t>
      </w:r>
      <w:r w:rsidR="00271AEE">
        <w:t xml:space="preserve"> </w:t>
      </w:r>
      <w:r w:rsidR="002948D2">
        <w:t xml:space="preserve">¿cómo la necesaria apertura de la economía al mundo </w:t>
      </w:r>
      <w:r w:rsidR="002B4AD8">
        <w:t xml:space="preserve">se da un contexto </w:t>
      </w:r>
      <w:r w:rsidR="00C41184">
        <w:t>que no genere impactos negativos en la estructura productiva?</w:t>
      </w:r>
    </w:p>
    <w:p w14:paraId="7A052E36" w14:textId="77777777" w:rsidR="00A612AA" w:rsidRDefault="00A612AA" w:rsidP="00463082"/>
    <w:p w14:paraId="056F2CAA" w14:textId="1AB47448" w:rsidR="00A612AA" w:rsidRPr="000C1C04" w:rsidRDefault="00A612AA" w:rsidP="00463082">
      <w:pPr>
        <w:rPr>
          <w:b/>
          <w:bCs/>
        </w:rPr>
      </w:pPr>
      <w:r>
        <w:t xml:space="preserve">Dos </w:t>
      </w:r>
      <w:r w:rsidR="00455E62">
        <w:t xml:space="preserve">aspectos sustantivos hacen a la respuesta: </w:t>
      </w:r>
      <w:r w:rsidR="00455E62" w:rsidRPr="000C1C04">
        <w:rPr>
          <w:b/>
          <w:bCs/>
        </w:rPr>
        <w:t>COMPETITIVIDAD Y PRODUCTIVIDAD</w:t>
      </w:r>
    </w:p>
    <w:p w14:paraId="2DA2891C" w14:textId="77777777" w:rsidR="00455E62" w:rsidRPr="000C1C04" w:rsidRDefault="00455E62" w:rsidP="00463082">
      <w:pPr>
        <w:rPr>
          <w:b/>
          <w:bCs/>
        </w:rPr>
      </w:pPr>
    </w:p>
    <w:p w14:paraId="077338E5" w14:textId="4432022E" w:rsidR="00B10357" w:rsidRDefault="009A3951" w:rsidP="00463082">
      <w:r>
        <w:t xml:space="preserve">La competitividad de la industria está condicionada por un sistema tributario </w:t>
      </w:r>
      <w:r w:rsidR="00004D36">
        <w:t xml:space="preserve">que </w:t>
      </w:r>
      <w:r w:rsidR="00030EE4">
        <w:t>acota</w:t>
      </w:r>
      <w:r w:rsidR="00D95C9D">
        <w:t xml:space="preserve"> </w:t>
      </w:r>
      <w:r w:rsidR="00004D36">
        <w:t>el desarrollo de las empresas y que sanciona el agregado de valor (Ingresos Brutos</w:t>
      </w:r>
      <w:r w:rsidR="00432569">
        <w:t xml:space="preserve">). </w:t>
      </w:r>
      <w:r w:rsidR="00B10357">
        <w:t xml:space="preserve">A su vez, </w:t>
      </w:r>
      <w:r w:rsidR="00977CB4">
        <w:t>l</w:t>
      </w:r>
      <w:r w:rsidR="00977CB4" w:rsidRPr="00977CB4">
        <w:t xml:space="preserve">as tasas municipales son vistas como un factor que encarece los costos operativos, afecta la competitividad y desalienta </w:t>
      </w:r>
      <w:r w:rsidR="00E20A69">
        <w:t>la producción.</w:t>
      </w:r>
      <w:r w:rsidR="00DB3E3E">
        <w:t xml:space="preserve"> En este sentido, como expresan las </w:t>
      </w:r>
      <w:r w:rsidR="00D91797">
        <w:t xml:space="preserve">diversas representaciones sectoriales “la cancha no </w:t>
      </w:r>
      <w:r w:rsidR="00EC7002">
        <w:t>está</w:t>
      </w:r>
      <w:r w:rsidR="00D91797">
        <w:t xml:space="preserve"> nivelada”.</w:t>
      </w:r>
    </w:p>
    <w:p w14:paraId="49CC882B" w14:textId="77777777" w:rsidR="00E20A69" w:rsidRDefault="00E20A69" w:rsidP="00463082"/>
    <w:p w14:paraId="00EC073C" w14:textId="21424C3B" w:rsidR="00455E62" w:rsidRDefault="005D23BF" w:rsidP="00463082">
      <w:r>
        <w:t>No es</w:t>
      </w:r>
      <w:r w:rsidR="003E2321">
        <w:t xml:space="preserve"> </w:t>
      </w:r>
      <w:r w:rsidR="00CC60FE">
        <w:t>menor el impacto de la política cambiaria que acrecienta los costos en dólares de las empresas</w:t>
      </w:r>
      <w:r w:rsidR="00E54B21">
        <w:t xml:space="preserve"> limitando su potencial exportador</w:t>
      </w:r>
      <w:r w:rsidR="006943EF">
        <w:t xml:space="preserve"> como así también un sistema financiero que </w:t>
      </w:r>
      <w:r w:rsidR="00502ADF">
        <w:t xml:space="preserve">con altas tasas de interés -incompatibles con </w:t>
      </w:r>
      <w:r w:rsidR="00701385">
        <w:t>la producción- limita los planes de inversión.</w:t>
      </w:r>
    </w:p>
    <w:p w14:paraId="1FBCC377" w14:textId="77777777" w:rsidR="00446D96" w:rsidRDefault="00446D96" w:rsidP="00463082"/>
    <w:p w14:paraId="43DD3A6E" w14:textId="6EF59FC1" w:rsidR="00446D96" w:rsidRDefault="00446D96" w:rsidP="00463082">
      <w:r>
        <w:t>Sin embargo, esa falta de certeza</w:t>
      </w:r>
      <w:r w:rsidR="00F24646">
        <w:t xml:space="preserve"> pone a la Industria ante un desafío permanente, la mejora continua en la </w:t>
      </w:r>
      <w:r w:rsidR="00F24646" w:rsidRPr="008C4DF8">
        <w:rPr>
          <w:b/>
          <w:bCs/>
        </w:rPr>
        <w:t>PRODUCTIVIDAD</w:t>
      </w:r>
      <w:r w:rsidR="00674184">
        <w:t xml:space="preserve"> y abre una pregunta de cara al futuro: ¿cómo habrá de </w:t>
      </w:r>
      <w:r w:rsidR="006216E9">
        <w:t xml:space="preserve">impactar en los procesos industriales el creciente avance de la Inteligencia </w:t>
      </w:r>
      <w:r w:rsidR="000C1C04">
        <w:t xml:space="preserve">Artificial (IA) y de </w:t>
      </w:r>
      <w:proofErr w:type="spellStart"/>
      <w:r w:rsidR="000C1C04">
        <w:t>que</w:t>
      </w:r>
      <w:proofErr w:type="spellEnd"/>
      <w:r w:rsidR="000C1C04">
        <w:t xml:space="preserve"> modo las industrias PYME podrán incorporar esta tecnología a sus procesos?</w:t>
      </w:r>
    </w:p>
    <w:p w14:paraId="686DA7CE" w14:textId="77777777" w:rsidR="008C4DF8" w:rsidRDefault="008C4DF8" w:rsidP="00463082"/>
    <w:p w14:paraId="040366C8" w14:textId="7E1DB9F0" w:rsidR="008C4DF8" w:rsidRDefault="00F95DCA" w:rsidP="00463082">
      <w:r>
        <w:t>Cerramos así el Ejercicio</w:t>
      </w:r>
      <w:r w:rsidR="00BC58E3">
        <w:t xml:space="preserve"> 2024</w:t>
      </w:r>
      <w:r w:rsidR="004F2D78">
        <w:t>/</w:t>
      </w:r>
      <w:r w:rsidR="00BC58E3">
        <w:t>2025</w:t>
      </w:r>
      <w:r>
        <w:t xml:space="preserve"> </w:t>
      </w:r>
      <w:r w:rsidR="00093813">
        <w:t>y continuamos</w:t>
      </w:r>
      <w:r w:rsidR="002A399F">
        <w:t xml:space="preserve"> trabajando por una Industria Nacional</w:t>
      </w:r>
      <w:r w:rsidR="00E24F22">
        <w:t xml:space="preserve"> c</w:t>
      </w:r>
      <w:r w:rsidR="00B00227">
        <w:t>ompetitiva y sustentable</w:t>
      </w:r>
      <w:r w:rsidR="002A399F">
        <w:t xml:space="preserve"> </w:t>
      </w:r>
      <w:r w:rsidR="00E24F22">
        <w:t>protagonista del desarrollo</w:t>
      </w:r>
      <w:r w:rsidR="001D743F">
        <w:t xml:space="preserve"> económico y social</w:t>
      </w:r>
    </w:p>
    <w:p w14:paraId="325E9521" w14:textId="77777777" w:rsidR="00F471F1" w:rsidRDefault="00F471F1" w:rsidP="00463082"/>
    <w:p w14:paraId="1EAD8257" w14:textId="2E6C5443" w:rsidR="00617F67" w:rsidRDefault="00617F67">
      <w:r>
        <w:br w:type="page"/>
      </w:r>
    </w:p>
    <w:p w14:paraId="456FDA52" w14:textId="5E8CADE9" w:rsidR="00617F67" w:rsidRPr="00016026" w:rsidRDefault="00617F67" w:rsidP="00016026">
      <w:pPr>
        <w:pStyle w:val="Prrafodelista"/>
        <w:numPr>
          <w:ilvl w:val="0"/>
          <w:numId w:val="6"/>
        </w:numPr>
        <w:ind w:left="360"/>
        <w:rPr>
          <w:lang w:val="es-ES"/>
        </w:rPr>
      </w:pPr>
      <w:r w:rsidRPr="00016026">
        <w:rPr>
          <w:lang w:val="es-ES"/>
        </w:rPr>
        <w:lastRenderedPageBreak/>
        <w:t xml:space="preserve">Desayuno de trabajo que expectativas tenemos para la industria Pyme 2024- a cargo de nuestros asesores </w:t>
      </w:r>
    </w:p>
    <w:p w14:paraId="4C4AD15F" w14:textId="77777777" w:rsidR="00617F67" w:rsidRPr="00617F67" w:rsidRDefault="00617F67" w:rsidP="00016026">
      <w:pPr>
        <w:ind w:left="-360"/>
        <w:rPr>
          <w:lang w:val="es-ES"/>
        </w:rPr>
      </w:pPr>
    </w:p>
    <w:p w14:paraId="6F17679C" w14:textId="4EC7531D" w:rsidR="00617F67" w:rsidRPr="00016026" w:rsidRDefault="00F000D5" w:rsidP="00016026">
      <w:pPr>
        <w:pStyle w:val="Prrafodelista"/>
        <w:numPr>
          <w:ilvl w:val="0"/>
          <w:numId w:val="6"/>
        </w:numPr>
        <w:ind w:left="360"/>
        <w:rPr>
          <w:lang w:val="es-ES"/>
        </w:rPr>
      </w:pPr>
      <w:r w:rsidRPr="00016026">
        <w:rPr>
          <w:lang w:val="es-ES"/>
        </w:rPr>
        <w:t xml:space="preserve">Convenio UIO - </w:t>
      </w:r>
      <w:r w:rsidR="00034811" w:rsidRPr="00016026">
        <w:rPr>
          <w:lang w:val="es-ES"/>
        </w:rPr>
        <w:t>U</w:t>
      </w:r>
      <w:r w:rsidRPr="00016026">
        <w:rPr>
          <w:lang w:val="es-ES"/>
        </w:rPr>
        <w:t xml:space="preserve">niversidad de </w:t>
      </w:r>
      <w:r w:rsidR="00034811" w:rsidRPr="00016026">
        <w:rPr>
          <w:lang w:val="es-ES"/>
        </w:rPr>
        <w:t>M</w:t>
      </w:r>
      <w:r w:rsidRPr="00016026">
        <w:rPr>
          <w:lang w:val="es-ES"/>
        </w:rPr>
        <w:t>orón</w:t>
      </w:r>
      <w:r w:rsidR="00034811" w:rsidRPr="00016026">
        <w:rPr>
          <w:lang w:val="es-ES"/>
        </w:rPr>
        <w:t xml:space="preserve"> - B</w:t>
      </w:r>
      <w:r w:rsidRPr="00016026">
        <w:rPr>
          <w:lang w:val="es-ES"/>
        </w:rPr>
        <w:t xml:space="preserve">ecas y beneficios para socios de la </w:t>
      </w:r>
      <w:r w:rsidR="00034811" w:rsidRPr="00016026">
        <w:rPr>
          <w:lang w:val="es-ES"/>
        </w:rPr>
        <w:t>Unión Industrial del Oeste</w:t>
      </w:r>
    </w:p>
    <w:p w14:paraId="09536B83" w14:textId="77777777" w:rsidR="00617F67" w:rsidRPr="00617F67" w:rsidRDefault="00617F67" w:rsidP="00016026">
      <w:pPr>
        <w:ind w:left="-360"/>
        <w:rPr>
          <w:lang w:val="es-ES"/>
        </w:rPr>
      </w:pPr>
    </w:p>
    <w:p w14:paraId="6FEEB41F" w14:textId="2D163E7B" w:rsidR="00617F67" w:rsidRPr="00016026" w:rsidRDefault="00617F67" w:rsidP="00016026">
      <w:pPr>
        <w:pStyle w:val="Prrafodelista"/>
        <w:numPr>
          <w:ilvl w:val="0"/>
          <w:numId w:val="6"/>
        </w:numPr>
        <w:ind w:left="360"/>
        <w:rPr>
          <w:lang w:val="es-ES"/>
        </w:rPr>
      </w:pPr>
      <w:r w:rsidRPr="00016026">
        <w:rPr>
          <w:lang w:val="es-ES"/>
        </w:rPr>
        <w:t xml:space="preserve">Convenio con la Unión </w:t>
      </w:r>
      <w:r w:rsidR="001E250A" w:rsidRPr="00016026">
        <w:rPr>
          <w:lang w:val="es-ES"/>
        </w:rPr>
        <w:t>I</w:t>
      </w:r>
      <w:r w:rsidRPr="00016026">
        <w:rPr>
          <w:lang w:val="es-ES"/>
        </w:rPr>
        <w:t>ndustrial de General Rodríguez para seguir fortaleciendo lazos.</w:t>
      </w:r>
    </w:p>
    <w:p w14:paraId="75C0FB8C" w14:textId="77777777" w:rsidR="001E250A" w:rsidRDefault="001E250A" w:rsidP="00016026">
      <w:pPr>
        <w:rPr>
          <w:lang w:val="es-ES"/>
        </w:rPr>
      </w:pPr>
    </w:p>
    <w:p w14:paraId="3380EB32" w14:textId="12E852E6" w:rsidR="00617F67" w:rsidRPr="00016026" w:rsidRDefault="00617F67" w:rsidP="00016026">
      <w:pPr>
        <w:pStyle w:val="Prrafodelista"/>
        <w:numPr>
          <w:ilvl w:val="0"/>
          <w:numId w:val="6"/>
        </w:numPr>
        <w:ind w:left="360"/>
        <w:rPr>
          <w:lang w:val="es-ES"/>
        </w:rPr>
      </w:pPr>
      <w:r w:rsidRPr="00016026">
        <w:rPr>
          <w:lang w:val="es-ES"/>
        </w:rPr>
        <w:t>Convenio con el Colegio de Traductores de la Provincia de Buenos aires sucursal Morón</w:t>
      </w:r>
    </w:p>
    <w:p w14:paraId="3221D4B8" w14:textId="77777777" w:rsidR="001E250A" w:rsidRDefault="001E250A" w:rsidP="00016026">
      <w:pPr>
        <w:rPr>
          <w:lang w:val="es-ES"/>
        </w:rPr>
      </w:pPr>
    </w:p>
    <w:p w14:paraId="73CBA039" w14:textId="077F1A55" w:rsidR="00617F67" w:rsidRPr="00016026" w:rsidRDefault="00617F67" w:rsidP="00016026">
      <w:pPr>
        <w:pStyle w:val="Prrafodelista"/>
        <w:numPr>
          <w:ilvl w:val="0"/>
          <w:numId w:val="6"/>
        </w:numPr>
        <w:ind w:left="360"/>
        <w:rPr>
          <w:lang w:val="es-ES"/>
        </w:rPr>
      </w:pPr>
      <w:r w:rsidRPr="00016026">
        <w:rPr>
          <w:lang w:val="es-ES"/>
        </w:rPr>
        <w:t>Convenio con el Colegio de Ingenieros de la Provincia de buenos Aires</w:t>
      </w:r>
    </w:p>
    <w:p w14:paraId="79622D38" w14:textId="77777777" w:rsidR="001E250A" w:rsidRDefault="001E250A" w:rsidP="00016026">
      <w:pPr>
        <w:rPr>
          <w:lang w:val="es-ES"/>
        </w:rPr>
      </w:pPr>
    </w:p>
    <w:p w14:paraId="65CE9A59" w14:textId="56EA6644" w:rsidR="00617F67" w:rsidRPr="00016026" w:rsidRDefault="00617F67" w:rsidP="00016026">
      <w:pPr>
        <w:pStyle w:val="Prrafodelista"/>
        <w:numPr>
          <w:ilvl w:val="0"/>
          <w:numId w:val="6"/>
        </w:numPr>
        <w:ind w:left="360"/>
        <w:rPr>
          <w:lang w:val="es-ES"/>
        </w:rPr>
      </w:pPr>
      <w:r w:rsidRPr="00016026">
        <w:rPr>
          <w:lang w:val="es-ES"/>
        </w:rPr>
        <w:t>Representación activa en la gremial empresaria, en cámaras de primer nivel y ante organismos públicos privados, locales Provinciales y Nacionales</w:t>
      </w:r>
    </w:p>
    <w:p w14:paraId="7A979AFB" w14:textId="77777777" w:rsidR="001E250A" w:rsidRDefault="001E250A" w:rsidP="00016026">
      <w:pPr>
        <w:rPr>
          <w:lang w:val="es-ES"/>
        </w:rPr>
      </w:pPr>
    </w:p>
    <w:p w14:paraId="42043B0C" w14:textId="466DBA79" w:rsidR="00617F67" w:rsidRPr="00016026" w:rsidRDefault="00617F67" w:rsidP="00016026">
      <w:pPr>
        <w:pStyle w:val="Prrafodelista"/>
        <w:numPr>
          <w:ilvl w:val="0"/>
          <w:numId w:val="6"/>
        </w:numPr>
        <w:ind w:left="360"/>
        <w:rPr>
          <w:lang w:val="es-ES"/>
        </w:rPr>
      </w:pPr>
      <w:r w:rsidRPr="00016026">
        <w:rPr>
          <w:lang w:val="es-ES"/>
        </w:rPr>
        <w:t>Convenio con la UHANUR</w:t>
      </w:r>
    </w:p>
    <w:p w14:paraId="121F4AF5" w14:textId="77777777" w:rsidR="001E250A" w:rsidRDefault="001E250A" w:rsidP="00016026">
      <w:pPr>
        <w:rPr>
          <w:lang w:val="es-ES"/>
        </w:rPr>
      </w:pPr>
    </w:p>
    <w:p w14:paraId="375A18B9" w14:textId="25218606" w:rsidR="00617F67" w:rsidRPr="00016026" w:rsidRDefault="00617F67" w:rsidP="00016026">
      <w:pPr>
        <w:pStyle w:val="Prrafodelista"/>
        <w:numPr>
          <w:ilvl w:val="0"/>
          <w:numId w:val="6"/>
        </w:numPr>
        <w:ind w:left="360"/>
        <w:rPr>
          <w:lang w:val="es-ES"/>
        </w:rPr>
      </w:pPr>
      <w:r w:rsidRPr="00016026">
        <w:rPr>
          <w:lang w:val="es-ES"/>
        </w:rPr>
        <w:t xml:space="preserve">Convenio con INTI (Mesa de trabajo para las construcciones del parque) Capacitación del para el fortalecimiento de la industria </w:t>
      </w:r>
    </w:p>
    <w:p w14:paraId="16733120" w14:textId="77777777" w:rsidR="00617F67" w:rsidRPr="00617F67" w:rsidRDefault="00617F67" w:rsidP="00016026">
      <w:pPr>
        <w:ind w:left="-360"/>
        <w:rPr>
          <w:lang w:val="es-ES"/>
        </w:rPr>
      </w:pPr>
    </w:p>
    <w:p w14:paraId="438B3720" w14:textId="3FEA08A6" w:rsidR="00617F67" w:rsidRPr="00016026" w:rsidRDefault="00617F67" w:rsidP="00016026">
      <w:pPr>
        <w:pStyle w:val="Prrafodelista"/>
        <w:numPr>
          <w:ilvl w:val="0"/>
          <w:numId w:val="6"/>
        </w:numPr>
        <w:ind w:left="360"/>
        <w:rPr>
          <w:lang w:val="es-ES"/>
        </w:rPr>
      </w:pPr>
      <w:r w:rsidRPr="00016026">
        <w:rPr>
          <w:lang w:val="es-ES"/>
        </w:rPr>
        <w:t xml:space="preserve">Capacitaciones a cargo de la </w:t>
      </w:r>
      <w:proofErr w:type="spellStart"/>
      <w:r w:rsidR="00745BC8" w:rsidRPr="00016026">
        <w:rPr>
          <w:lang w:val="es-ES"/>
        </w:rPr>
        <w:t>Secretaria</w:t>
      </w:r>
      <w:r w:rsidRPr="00016026">
        <w:rPr>
          <w:lang w:val="es-ES"/>
        </w:rPr>
        <w:t>de</w:t>
      </w:r>
      <w:proofErr w:type="spellEnd"/>
      <w:r w:rsidRPr="00016026">
        <w:rPr>
          <w:lang w:val="es-ES"/>
        </w:rPr>
        <w:t xml:space="preserve"> </w:t>
      </w:r>
      <w:r w:rsidR="00745BC8" w:rsidRPr="00016026">
        <w:rPr>
          <w:lang w:val="es-ES"/>
        </w:rPr>
        <w:t>I</w:t>
      </w:r>
      <w:r w:rsidRPr="00016026">
        <w:rPr>
          <w:lang w:val="es-ES"/>
        </w:rPr>
        <w:t xml:space="preserve">ndustria de la Municipalidad de </w:t>
      </w:r>
      <w:proofErr w:type="gramStart"/>
      <w:r w:rsidRPr="00016026">
        <w:rPr>
          <w:lang w:val="es-ES"/>
        </w:rPr>
        <w:t>Morón :</w:t>
      </w:r>
      <w:proofErr w:type="gramEnd"/>
      <w:r w:rsidRPr="00016026">
        <w:rPr>
          <w:lang w:val="es-ES"/>
        </w:rPr>
        <w:t xml:space="preserve"> 5 encuentros sobre Impulso digital (mar</w:t>
      </w:r>
      <w:r w:rsidR="00BF68A1" w:rsidRPr="00016026">
        <w:rPr>
          <w:lang w:val="es-ES"/>
        </w:rPr>
        <w:t>k</w:t>
      </w:r>
      <w:r w:rsidRPr="00016026">
        <w:rPr>
          <w:lang w:val="es-ES"/>
        </w:rPr>
        <w:t>etin</w:t>
      </w:r>
      <w:r w:rsidR="00BF68A1" w:rsidRPr="00016026">
        <w:rPr>
          <w:lang w:val="es-ES"/>
        </w:rPr>
        <w:t>g</w:t>
      </w:r>
      <w:r w:rsidRPr="00016026">
        <w:rPr>
          <w:lang w:val="es-ES"/>
        </w:rPr>
        <w:t xml:space="preserve"> digital-foto</w:t>
      </w:r>
      <w:r w:rsidR="00BF68A1" w:rsidRPr="00016026">
        <w:rPr>
          <w:lang w:val="es-ES"/>
        </w:rPr>
        <w:t xml:space="preserve"> </w:t>
      </w:r>
      <w:proofErr w:type="spellStart"/>
      <w:r w:rsidRPr="00016026">
        <w:rPr>
          <w:lang w:val="es-ES"/>
        </w:rPr>
        <w:t>porducto</w:t>
      </w:r>
      <w:proofErr w:type="spellEnd"/>
      <w:r w:rsidRPr="00016026">
        <w:rPr>
          <w:lang w:val="es-ES"/>
        </w:rPr>
        <w:t>-venta online)</w:t>
      </w:r>
    </w:p>
    <w:p w14:paraId="00479467" w14:textId="77777777" w:rsidR="00617F67" w:rsidRPr="00617F67" w:rsidRDefault="00617F67" w:rsidP="00016026">
      <w:pPr>
        <w:ind w:left="-360"/>
        <w:rPr>
          <w:lang w:val="es-ES"/>
        </w:rPr>
      </w:pPr>
    </w:p>
    <w:p w14:paraId="124A599B" w14:textId="77777777" w:rsidR="003128B4" w:rsidRPr="00016026" w:rsidRDefault="00617F67" w:rsidP="00016026">
      <w:pPr>
        <w:pStyle w:val="Prrafodelista"/>
        <w:numPr>
          <w:ilvl w:val="0"/>
          <w:numId w:val="6"/>
        </w:numPr>
        <w:ind w:left="360"/>
        <w:rPr>
          <w:lang w:val="es-ES"/>
        </w:rPr>
      </w:pPr>
      <w:r w:rsidRPr="00016026">
        <w:rPr>
          <w:lang w:val="es-ES"/>
        </w:rPr>
        <w:t xml:space="preserve">Jornada de trabajo primeras impresiones sobre </w:t>
      </w:r>
      <w:r w:rsidR="00BF68A1" w:rsidRPr="00016026">
        <w:rPr>
          <w:lang w:val="es-ES"/>
        </w:rPr>
        <w:t>L</w:t>
      </w:r>
      <w:r w:rsidRPr="00016026">
        <w:rPr>
          <w:lang w:val="es-ES"/>
        </w:rPr>
        <w:t xml:space="preserve">a ley </w:t>
      </w:r>
      <w:r w:rsidR="00BF68A1" w:rsidRPr="00016026">
        <w:rPr>
          <w:lang w:val="es-ES"/>
        </w:rPr>
        <w:t>B</w:t>
      </w:r>
      <w:r w:rsidRPr="00016026">
        <w:rPr>
          <w:lang w:val="es-ES"/>
        </w:rPr>
        <w:t>ases y su impacto en las pymes</w:t>
      </w:r>
    </w:p>
    <w:p w14:paraId="4ECEACAD" w14:textId="2EFCED2A" w:rsidR="00617F67" w:rsidRPr="00617F67" w:rsidRDefault="00617F67" w:rsidP="00016026">
      <w:pPr>
        <w:ind w:left="-360" w:firstLine="72"/>
        <w:rPr>
          <w:lang w:val="es-ES"/>
        </w:rPr>
      </w:pPr>
    </w:p>
    <w:p w14:paraId="69C351D2" w14:textId="77777777" w:rsidR="00617F67" w:rsidRPr="00016026" w:rsidRDefault="00617F67" w:rsidP="00016026">
      <w:pPr>
        <w:pStyle w:val="Prrafodelista"/>
        <w:numPr>
          <w:ilvl w:val="0"/>
          <w:numId w:val="6"/>
        </w:numPr>
        <w:ind w:left="360"/>
        <w:rPr>
          <w:lang w:val="es-ES"/>
        </w:rPr>
      </w:pPr>
      <w:r w:rsidRPr="00016026">
        <w:rPr>
          <w:lang w:val="es-ES"/>
        </w:rPr>
        <w:t xml:space="preserve">Jornada de trabajo: Cambios impositivos como impacta en la Pyme </w:t>
      </w:r>
    </w:p>
    <w:p w14:paraId="76C804AB" w14:textId="77777777" w:rsidR="00617F67" w:rsidRPr="00617F67" w:rsidRDefault="00617F67" w:rsidP="00016026">
      <w:pPr>
        <w:ind w:left="-360"/>
        <w:rPr>
          <w:lang w:val="es-ES"/>
        </w:rPr>
      </w:pPr>
    </w:p>
    <w:p w14:paraId="0526D17D" w14:textId="77777777" w:rsidR="00617F67" w:rsidRPr="00016026" w:rsidRDefault="00617F67" w:rsidP="00016026">
      <w:pPr>
        <w:pStyle w:val="Prrafodelista"/>
        <w:numPr>
          <w:ilvl w:val="0"/>
          <w:numId w:val="6"/>
        </w:numPr>
        <w:ind w:left="360"/>
        <w:rPr>
          <w:lang w:val="es-ES"/>
        </w:rPr>
      </w:pPr>
      <w:r w:rsidRPr="00016026">
        <w:rPr>
          <w:lang w:val="es-ES"/>
        </w:rPr>
        <w:t xml:space="preserve">Programa Empujar: junto a la fundación Empujar brindamos capacitaciones y acompañamiento integral a jóvenes en su camino de empleo formal </w:t>
      </w:r>
    </w:p>
    <w:p w14:paraId="3D3F66FA" w14:textId="77777777" w:rsidR="00617F67" w:rsidRPr="00617F67" w:rsidRDefault="00617F67" w:rsidP="00016026">
      <w:pPr>
        <w:ind w:left="-360"/>
        <w:rPr>
          <w:lang w:val="es-ES"/>
        </w:rPr>
      </w:pPr>
    </w:p>
    <w:p w14:paraId="506ABD0B" w14:textId="2A8B6DDC" w:rsidR="00617F67" w:rsidRPr="00016026" w:rsidRDefault="00617F67" w:rsidP="00016026">
      <w:pPr>
        <w:pStyle w:val="Prrafodelista"/>
        <w:numPr>
          <w:ilvl w:val="0"/>
          <w:numId w:val="6"/>
        </w:numPr>
        <w:ind w:left="360"/>
        <w:rPr>
          <w:lang w:val="es-ES"/>
        </w:rPr>
      </w:pPr>
      <w:r w:rsidRPr="00016026">
        <w:rPr>
          <w:lang w:val="es-ES"/>
        </w:rPr>
        <w:t xml:space="preserve">Jornada de trabajo Eficiencia energética nuevas normativas </w:t>
      </w:r>
    </w:p>
    <w:p w14:paraId="29E32AA3" w14:textId="77777777" w:rsidR="00617F67" w:rsidRPr="00617F67" w:rsidRDefault="00617F67" w:rsidP="00016026">
      <w:pPr>
        <w:ind w:left="-360"/>
        <w:rPr>
          <w:lang w:val="es-ES"/>
        </w:rPr>
      </w:pPr>
    </w:p>
    <w:p w14:paraId="6BD812E6" w14:textId="77777777" w:rsidR="00016026" w:rsidRPr="00016026" w:rsidRDefault="00617F67" w:rsidP="00016026">
      <w:pPr>
        <w:pStyle w:val="Prrafodelista"/>
        <w:numPr>
          <w:ilvl w:val="0"/>
          <w:numId w:val="6"/>
        </w:numPr>
        <w:ind w:left="360"/>
        <w:rPr>
          <w:lang w:val="es-ES"/>
        </w:rPr>
      </w:pPr>
      <w:r w:rsidRPr="00016026">
        <w:rPr>
          <w:lang w:val="es-ES"/>
        </w:rPr>
        <w:t>Jornada de trabajo: La era de la adaptabilidad: el rol de la mujer en el futuro laboral”</w:t>
      </w:r>
      <w:r w:rsidR="00CA18CD" w:rsidRPr="00016026">
        <w:rPr>
          <w:lang w:val="es-ES"/>
        </w:rPr>
        <w:t xml:space="preserve">. </w:t>
      </w:r>
      <w:r w:rsidRPr="00016026">
        <w:rPr>
          <w:lang w:val="es-ES"/>
        </w:rPr>
        <w:br/>
      </w:r>
      <w:r w:rsidR="003128B4" w:rsidRPr="00016026">
        <w:rPr>
          <w:lang w:val="es-ES"/>
        </w:rPr>
        <w:t>J</w:t>
      </w:r>
      <w:r w:rsidRPr="00016026">
        <w:rPr>
          <w:lang w:val="es-ES"/>
        </w:rPr>
        <w:t>unto a Manpower realizamos este desayuno de trabajo en el cual buscamos impulsar, visualizar y reflexionar sobre la importancia e incidencia de mujeres en el mundo del trabajo, a través del intercambio de experiencias y vinculación de actores de la comunidad productiva.</w:t>
      </w:r>
      <w:r w:rsidR="00CA18CD" w:rsidRPr="00016026">
        <w:rPr>
          <w:lang w:val="es-ES"/>
        </w:rPr>
        <w:t xml:space="preserve"> </w:t>
      </w:r>
      <w:r w:rsidR="00995AF1" w:rsidRPr="00016026">
        <w:rPr>
          <w:lang w:val="es-ES"/>
        </w:rPr>
        <w:t>Contamos con la participación de más de 25 empresarias, emprendedoras y trabajadoras aliadas y protagonistas del desarrollo económico, social y productivo de nuestra región.</w:t>
      </w:r>
    </w:p>
    <w:p w14:paraId="5E5D5629" w14:textId="28FC9DE7" w:rsidR="00CA18CD" w:rsidRDefault="00CA18CD" w:rsidP="00016026">
      <w:pPr>
        <w:ind w:left="-360" w:firstLine="72"/>
        <w:rPr>
          <w:lang w:val="es-ES"/>
        </w:rPr>
      </w:pPr>
    </w:p>
    <w:p w14:paraId="46B09489" w14:textId="77777777" w:rsidR="00995AF1" w:rsidRPr="00016026" w:rsidRDefault="00617F67" w:rsidP="00016026">
      <w:pPr>
        <w:ind w:left="360"/>
        <w:rPr>
          <w:lang w:val="es-ES"/>
        </w:rPr>
      </w:pPr>
      <w:r w:rsidRPr="00016026">
        <w:rPr>
          <w:lang w:val="es-ES"/>
        </w:rPr>
        <w:t xml:space="preserve">Se presentó un panel de experiencias compuesto por </w:t>
      </w:r>
    </w:p>
    <w:p w14:paraId="324DFD78" w14:textId="77777777" w:rsidR="00995AF1" w:rsidRDefault="00995AF1" w:rsidP="00016026">
      <w:pPr>
        <w:ind w:left="360"/>
        <w:rPr>
          <w:lang w:val="es-ES"/>
        </w:rPr>
      </w:pPr>
    </w:p>
    <w:p w14:paraId="6E1957FD" w14:textId="22597FA1" w:rsidR="00CA18CD" w:rsidRPr="00016026" w:rsidRDefault="00617F67" w:rsidP="00016026">
      <w:pPr>
        <w:ind w:left="360"/>
        <w:rPr>
          <w:lang w:val="es-ES"/>
        </w:rPr>
      </w:pPr>
      <w:r w:rsidRPr="00016026">
        <w:rPr>
          <w:lang w:val="es-ES"/>
        </w:rPr>
        <w:t>María del Mar Pinos Guevara, socia Gerente Doña Clara. Dedicada a la fabricación de Artículos para repostería- ubicada en el Parque Industrial la Cantábrica</w:t>
      </w:r>
    </w:p>
    <w:p w14:paraId="3ECEC6A8" w14:textId="77777777" w:rsidR="00995AF1" w:rsidRPr="00016026" w:rsidRDefault="00617F67" w:rsidP="00016026">
      <w:pPr>
        <w:ind w:left="360"/>
        <w:rPr>
          <w:lang w:val="es-ES"/>
        </w:rPr>
      </w:pPr>
      <w:r w:rsidRPr="00016026">
        <w:rPr>
          <w:lang w:val="es-ES"/>
        </w:rPr>
        <w:br/>
        <w:t>Samanta Regina Schnabel, fundadora y directora creativa de la empresa Salve Regina dedicada a la fabricación de accesorios de moda- ubicada en el Palomar</w:t>
      </w:r>
      <w:r w:rsidRPr="00016026">
        <w:rPr>
          <w:lang w:val="es-ES"/>
        </w:rPr>
        <w:br/>
      </w:r>
    </w:p>
    <w:p w14:paraId="7A337E0E" w14:textId="5E8210E3" w:rsidR="001019FD" w:rsidRPr="00016026" w:rsidRDefault="00617F67" w:rsidP="00016026">
      <w:pPr>
        <w:ind w:left="360"/>
        <w:rPr>
          <w:lang w:val="es-ES"/>
        </w:rPr>
      </w:pPr>
      <w:r w:rsidRPr="00016026">
        <w:rPr>
          <w:lang w:val="es-ES"/>
        </w:rPr>
        <w:t>Natalia Garrote Líder de Gestión de Recursos Humanos y RSE de la empresa Saprograf. Con más de 50 años de trayectoria en la industria gráfica- ubicada en el parque industrial La Cantábrica.</w:t>
      </w:r>
    </w:p>
    <w:p w14:paraId="6A998845" w14:textId="77777777" w:rsidR="00617F67" w:rsidRPr="000C21C1" w:rsidRDefault="00617F67" w:rsidP="000C21C1">
      <w:pPr>
        <w:pStyle w:val="Prrafodelista"/>
        <w:numPr>
          <w:ilvl w:val="0"/>
          <w:numId w:val="6"/>
        </w:numPr>
        <w:ind w:left="360"/>
        <w:rPr>
          <w:lang w:val="es-ES"/>
        </w:rPr>
      </w:pPr>
      <w:r w:rsidRPr="000C21C1">
        <w:rPr>
          <w:lang w:val="es-ES"/>
        </w:rPr>
        <w:lastRenderedPageBreak/>
        <w:t>Jornada de trabajo: Realizamos junto al Colegio de Ingenieros de la Provincia de Buenos Aires Distrito VII; un desayuno de trabajo para conversar acerca de “la eficiencia energética y tarifas”</w:t>
      </w:r>
    </w:p>
    <w:p w14:paraId="7EA05945" w14:textId="77777777" w:rsidR="00F56F47" w:rsidRDefault="00F56F47" w:rsidP="000C21C1">
      <w:pPr>
        <w:rPr>
          <w:lang w:val="es-ES"/>
        </w:rPr>
      </w:pPr>
    </w:p>
    <w:p w14:paraId="1F0DBCA6" w14:textId="5AD03069" w:rsidR="00617F67" w:rsidRPr="000C21C1" w:rsidRDefault="00F56F47" w:rsidP="000C21C1">
      <w:pPr>
        <w:pStyle w:val="Prrafodelista"/>
        <w:numPr>
          <w:ilvl w:val="0"/>
          <w:numId w:val="6"/>
        </w:numPr>
        <w:ind w:left="360"/>
        <w:rPr>
          <w:lang w:val="es-ES"/>
        </w:rPr>
      </w:pPr>
      <w:r w:rsidRPr="000C21C1">
        <w:rPr>
          <w:lang w:val="es-ES"/>
        </w:rPr>
        <w:t>Entrega de tenencias definitivas de las unidades funcionales de la ampliación del PILC</w:t>
      </w:r>
    </w:p>
    <w:p w14:paraId="6D0AF043" w14:textId="77777777" w:rsidR="00617F67" w:rsidRPr="00617F67" w:rsidRDefault="00617F67" w:rsidP="000C21C1">
      <w:pPr>
        <w:ind w:left="-360"/>
        <w:rPr>
          <w:lang w:val="es-ES"/>
        </w:rPr>
      </w:pPr>
    </w:p>
    <w:p w14:paraId="57B030E0" w14:textId="6B8FD511" w:rsidR="00617F67" w:rsidRPr="000C21C1" w:rsidRDefault="00617F67" w:rsidP="000C21C1">
      <w:pPr>
        <w:pStyle w:val="Prrafodelista"/>
        <w:numPr>
          <w:ilvl w:val="0"/>
          <w:numId w:val="6"/>
        </w:numPr>
        <w:ind w:left="360"/>
        <w:rPr>
          <w:lang w:val="es-ES"/>
        </w:rPr>
      </w:pPr>
      <w:r w:rsidRPr="000C21C1">
        <w:rPr>
          <w:lang w:val="es-ES"/>
        </w:rPr>
        <w:t xml:space="preserve">Se realizaron en el trascurso del año 15 Visitas guiadas a las empresas del </w:t>
      </w:r>
      <w:r w:rsidR="00F56F47" w:rsidRPr="000C21C1">
        <w:rPr>
          <w:lang w:val="es-ES"/>
        </w:rPr>
        <w:t>PILC</w:t>
      </w:r>
      <w:r w:rsidRPr="000C21C1">
        <w:rPr>
          <w:lang w:val="es-ES"/>
        </w:rPr>
        <w:t>- colegios secundarios-terciarios-oficios y universidades</w:t>
      </w:r>
    </w:p>
    <w:p w14:paraId="1D4FE901" w14:textId="77777777" w:rsidR="00617F67" w:rsidRPr="00617F67" w:rsidRDefault="00617F67" w:rsidP="000C21C1">
      <w:pPr>
        <w:ind w:left="-360"/>
        <w:rPr>
          <w:lang w:val="es-ES"/>
        </w:rPr>
      </w:pPr>
    </w:p>
    <w:p w14:paraId="1DAA86DC" w14:textId="36699D68" w:rsidR="00617F67" w:rsidRPr="000C21C1" w:rsidRDefault="00617F67" w:rsidP="000C21C1">
      <w:pPr>
        <w:pStyle w:val="Prrafodelista"/>
        <w:numPr>
          <w:ilvl w:val="0"/>
          <w:numId w:val="6"/>
        </w:numPr>
        <w:ind w:left="360"/>
        <w:rPr>
          <w:lang w:val="es-ES"/>
        </w:rPr>
      </w:pPr>
      <w:r w:rsidRPr="000C21C1">
        <w:rPr>
          <w:lang w:val="es-ES"/>
        </w:rPr>
        <w:t xml:space="preserve">Nos unimos al programa Seguridad Productiva del Gobierno Nacional:  Realizamos la Primer Mesa de Seguridad Productiva en Parques Industriales y PYMES en el </w:t>
      </w:r>
      <w:r w:rsidR="00F56F47" w:rsidRPr="000C21C1">
        <w:rPr>
          <w:lang w:val="es-ES"/>
        </w:rPr>
        <w:t>PILC</w:t>
      </w:r>
    </w:p>
    <w:p w14:paraId="320461F1" w14:textId="77777777" w:rsidR="00617F67" w:rsidRPr="00617F67" w:rsidRDefault="00617F67" w:rsidP="000C21C1">
      <w:pPr>
        <w:ind w:left="-360"/>
        <w:rPr>
          <w:lang w:val="es-ES"/>
        </w:rPr>
      </w:pPr>
    </w:p>
    <w:p w14:paraId="1DB4337F" w14:textId="620B56E5" w:rsidR="00617F67" w:rsidRPr="000C21C1" w:rsidRDefault="00617F67" w:rsidP="000C21C1">
      <w:pPr>
        <w:pStyle w:val="Prrafodelista"/>
        <w:numPr>
          <w:ilvl w:val="0"/>
          <w:numId w:val="6"/>
        </w:numPr>
        <w:ind w:left="360"/>
        <w:rPr>
          <w:lang w:val="es-ES"/>
        </w:rPr>
      </w:pPr>
      <w:r w:rsidRPr="000C21C1">
        <w:rPr>
          <w:lang w:val="es-ES"/>
        </w:rPr>
        <w:t xml:space="preserve">Los ganadores de la edición 12° </w:t>
      </w:r>
      <w:r w:rsidR="00F000D5" w:rsidRPr="000C21C1">
        <w:rPr>
          <w:lang w:val="es-ES"/>
        </w:rPr>
        <w:t>UIO</w:t>
      </w:r>
      <w:r w:rsidRPr="000C21C1">
        <w:rPr>
          <w:lang w:val="es-ES"/>
        </w:rPr>
        <w:t>TEC 2023 del MEJOR PROYECTO “PROYECTO: PIEZ - O – ELÉCTRICO” –del INAC – CIATA MORON visitaron a la Incubadora de la UNAHUR para realizar la tutoría qué se ganaron el año pasado en la Expo</w:t>
      </w:r>
      <w:r w:rsidR="00E34218" w:rsidRPr="000C21C1">
        <w:rPr>
          <w:lang w:val="es-ES"/>
        </w:rPr>
        <w:t xml:space="preserve"> UIOTEC</w:t>
      </w:r>
      <w:r w:rsidRPr="000C21C1">
        <w:rPr>
          <w:lang w:val="es-ES"/>
        </w:rPr>
        <w:t>.</w:t>
      </w:r>
    </w:p>
    <w:p w14:paraId="193C1CE9" w14:textId="77777777" w:rsidR="00617F67" w:rsidRPr="00617F67" w:rsidRDefault="00617F67" w:rsidP="000C21C1">
      <w:pPr>
        <w:ind w:left="-360"/>
        <w:rPr>
          <w:lang w:val="es-ES"/>
        </w:rPr>
      </w:pPr>
    </w:p>
    <w:p w14:paraId="322DD5A9" w14:textId="696C24B3" w:rsidR="00617F67" w:rsidRPr="00EB5CBC" w:rsidRDefault="00617F67" w:rsidP="00BF55BA">
      <w:pPr>
        <w:pStyle w:val="Prrafodelista"/>
        <w:numPr>
          <w:ilvl w:val="0"/>
          <w:numId w:val="6"/>
        </w:numPr>
        <w:ind w:left="360"/>
        <w:rPr>
          <w:lang w:val="es-ES"/>
        </w:rPr>
      </w:pPr>
      <w:r w:rsidRPr="00EB5CBC">
        <w:rPr>
          <w:lang w:val="es-ES"/>
        </w:rPr>
        <w:t xml:space="preserve">Curso de Capacitación en RCP básico y </w:t>
      </w:r>
      <w:r w:rsidR="00E34218" w:rsidRPr="00EB5CBC">
        <w:rPr>
          <w:lang w:val="es-ES"/>
        </w:rPr>
        <w:t>P</w:t>
      </w:r>
      <w:r w:rsidRPr="00EB5CBC">
        <w:rPr>
          <w:lang w:val="es-ES"/>
        </w:rPr>
        <w:t>rimeros Auxilios</w:t>
      </w:r>
      <w:r w:rsidR="00EB5CBC" w:rsidRPr="00EB5CBC">
        <w:rPr>
          <w:lang w:val="es-ES"/>
        </w:rPr>
        <w:t xml:space="preserve">. </w:t>
      </w:r>
      <w:r w:rsidRPr="00EB5CBC">
        <w:rPr>
          <w:lang w:val="es-ES"/>
        </w:rPr>
        <w:t>El taller estuvo a cargo de </w:t>
      </w:r>
      <w:r w:rsidR="000211C3" w:rsidRPr="00EB5CBC">
        <w:rPr>
          <w:lang w:val="es-ES"/>
        </w:rPr>
        <w:t>Guardavidas Morón e</w:t>
      </w:r>
      <w:r w:rsidRPr="00EB5CBC">
        <w:rPr>
          <w:lang w:val="es-ES"/>
        </w:rPr>
        <w:t>n el cual enseñaron Maniobra de Heimlich, Manejo de asfixia y desfibrilador. Participaron más de 70 trabajadores del parque Industrial La Cantábrica y empresas socias de la entidad</w:t>
      </w:r>
    </w:p>
    <w:p w14:paraId="236A8505" w14:textId="77777777" w:rsidR="00617F67" w:rsidRPr="00617F67" w:rsidRDefault="00617F67" w:rsidP="000C21C1">
      <w:pPr>
        <w:ind w:left="-360"/>
        <w:rPr>
          <w:lang w:val="es-ES"/>
        </w:rPr>
      </w:pPr>
    </w:p>
    <w:p w14:paraId="487DD560" w14:textId="77777777" w:rsidR="00617F67" w:rsidRPr="000C21C1" w:rsidRDefault="00617F67" w:rsidP="000C21C1">
      <w:pPr>
        <w:pStyle w:val="Prrafodelista"/>
        <w:numPr>
          <w:ilvl w:val="0"/>
          <w:numId w:val="6"/>
        </w:numPr>
        <w:ind w:left="360"/>
        <w:rPr>
          <w:lang w:val="es-ES"/>
        </w:rPr>
      </w:pPr>
      <w:r w:rsidRPr="000C21C1">
        <w:rPr>
          <w:lang w:val="es-ES"/>
        </w:rPr>
        <w:t xml:space="preserve">Jornadas de Extracción de Sangre para el banco de Sangre del Hospital Posadas </w:t>
      </w:r>
    </w:p>
    <w:p w14:paraId="1E6FA56F" w14:textId="77777777" w:rsidR="00617F67" w:rsidRPr="00617F67" w:rsidRDefault="00617F67" w:rsidP="000C21C1">
      <w:pPr>
        <w:ind w:left="-360"/>
        <w:rPr>
          <w:lang w:val="es-ES"/>
        </w:rPr>
      </w:pPr>
    </w:p>
    <w:p w14:paraId="5EA8D0A0" w14:textId="24EB3999" w:rsidR="00305A71" w:rsidRPr="000C21C1" w:rsidRDefault="00617F67" w:rsidP="000C21C1">
      <w:pPr>
        <w:pStyle w:val="Prrafodelista"/>
        <w:numPr>
          <w:ilvl w:val="0"/>
          <w:numId w:val="6"/>
        </w:numPr>
        <w:ind w:left="360"/>
        <w:rPr>
          <w:lang w:val="es-ES"/>
        </w:rPr>
      </w:pPr>
      <w:r w:rsidRPr="000C21C1">
        <w:rPr>
          <w:lang w:val="es-ES"/>
        </w:rPr>
        <w:t xml:space="preserve">Finalizamos con mucha </w:t>
      </w:r>
      <w:r w:rsidR="00305A71" w:rsidRPr="000C21C1">
        <w:rPr>
          <w:lang w:val="es-ES"/>
        </w:rPr>
        <w:t>emoción</w:t>
      </w:r>
      <w:r w:rsidRPr="000C21C1">
        <w:rPr>
          <w:lang w:val="es-ES"/>
        </w:rPr>
        <w:t xml:space="preserve"> y un gran éxito esta nueva edición de la 13</w:t>
      </w:r>
      <w:r w:rsidR="00305A71" w:rsidRPr="000C21C1">
        <w:rPr>
          <w:lang w:val="es-ES"/>
        </w:rPr>
        <w:t xml:space="preserve"> </w:t>
      </w:r>
      <w:r w:rsidR="009039A5" w:rsidRPr="000C21C1">
        <w:rPr>
          <w:lang w:val="es-ES"/>
        </w:rPr>
        <w:t>EXPOSICION UIOTEC</w:t>
      </w:r>
      <w:r w:rsidRPr="000C21C1">
        <w:rPr>
          <w:lang w:val="es-ES"/>
        </w:rPr>
        <w:t xml:space="preserve"> 2024. Esta exposición que nos llena de orgullo y nos permite generar el ámbito propicio de encuentro entre la educación, la industria y el empleo.</w:t>
      </w:r>
    </w:p>
    <w:p w14:paraId="4C1B32F4" w14:textId="70716D27" w:rsidR="00A84313" w:rsidRPr="000C21C1" w:rsidRDefault="00617F67" w:rsidP="00BF55BA">
      <w:pPr>
        <w:ind w:left="360"/>
        <w:rPr>
          <w:lang w:val="es-ES"/>
        </w:rPr>
      </w:pPr>
      <w:r w:rsidRPr="000C21C1">
        <w:rPr>
          <w:lang w:val="es-ES"/>
        </w:rPr>
        <w:br/>
        <w:t xml:space="preserve">Este año nos visitaron 4000 estudiantes </w:t>
      </w:r>
      <w:r w:rsidR="002C34CB" w:rsidRPr="000C21C1">
        <w:rPr>
          <w:lang w:val="es-ES"/>
        </w:rPr>
        <w:t>y</w:t>
      </w:r>
      <w:r w:rsidR="00BF55BA">
        <w:rPr>
          <w:lang w:val="es-ES"/>
        </w:rPr>
        <w:t xml:space="preserve"> </w:t>
      </w:r>
      <w:r w:rsidRPr="000C21C1">
        <w:rPr>
          <w:lang w:val="es-ES"/>
        </w:rPr>
        <w:t xml:space="preserve">se realizaron en los dos </w:t>
      </w:r>
      <w:r w:rsidR="00D13A8D" w:rsidRPr="000C21C1">
        <w:rPr>
          <w:lang w:val="es-ES"/>
        </w:rPr>
        <w:t>días</w:t>
      </w:r>
      <w:r w:rsidRPr="000C21C1">
        <w:rPr>
          <w:lang w:val="es-ES"/>
        </w:rPr>
        <w:t xml:space="preserve"> 45 visitas a un total de 15 empresas del </w:t>
      </w:r>
      <w:r w:rsidR="00D13A8D" w:rsidRPr="000C21C1">
        <w:rPr>
          <w:lang w:val="es-ES"/>
        </w:rPr>
        <w:t>PILC. S</w:t>
      </w:r>
      <w:r w:rsidRPr="000C21C1">
        <w:rPr>
          <w:lang w:val="es-ES"/>
        </w:rPr>
        <w:t>e dictaron 30 talleres de los que participaron un total de 2600 estudiantes y docentes</w:t>
      </w:r>
      <w:r w:rsidR="00D13A8D" w:rsidRPr="000C21C1">
        <w:rPr>
          <w:lang w:val="es-ES"/>
        </w:rPr>
        <w:t xml:space="preserve"> y </w:t>
      </w:r>
      <w:r w:rsidRPr="000C21C1">
        <w:rPr>
          <w:lang w:val="es-ES"/>
        </w:rPr>
        <w:t xml:space="preserve">se presentaron 46 proyectos </w:t>
      </w:r>
      <w:r w:rsidR="00BF55BA" w:rsidRPr="000C21C1">
        <w:rPr>
          <w:lang w:val="es-ES"/>
        </w:rPr>
        <w:t>técnicos</w:t>
      </w:r>
      <w:r w:rsidRPr="000C21C1">
        <w:rPr>
          <w:lang w:val="es-ES"/>
        </w:rPr>
        <w:t xml:space="preserve"> y de </w:t>
      </w:r>
      <w:r w:rsidR="00BF55BA" w:rsidRPr="000C21C1">
        <w:rPr>
          <w:lang w:val="es-ES"/>
        </w:rPr>
        <w:t>formación</w:t>
      </w:r>
      <w:r w:rsidRPr="000C21C1">
        <w:rPr>
          <w:lang w:val="es-ES"/>
        </w:rPr>
        <w:t xml:space="preserve"> laboral</w:t>
      </w:r>
      <w:r w:rsidR="00537372" w:rsidRPr="000C21C1">
        <w:rPr>
          <w:lang w:val="es-ES"/>
        </w:rPr>
        <w:t>. P</w:t>
      </w:r>
      <w:r w:rsidRPr="000C21C1">
        <w:rPr>
          <w:lang w:val="es-ES"/>
        </w:rPr>
        <w:t xml:space="preserve">or primera vez a la expo se sumaron las secundarias orientadas y los centros de </w:t>
      </w:r>
      <w:r w:rsidR="00537372" w:rsidRPr="000C21C1">
        <w:rPr>
          <w:lang w:val="es-ES"/>
        </w:rPr>
        <w:t>formación</w:t>
      </w:r>
      <w:r w:rsidRPr="000C21C1">
        <w:rPr>
          <w:lang w:val="es-ES"/>
        </w:rPr>
        <w:t xml:space="preserve"> integrados.</w:t>
      </w:r>
    </w:p>
    <w:p w14:paraId="3C2A59D5" w14:textId="091C6997" w:rsidR="00617F67" w:rsidRPr="000C21C1" w:rsidRDefault="00617F67" w:rsidP="000C21C1">
      <w:pPr>
        <w:ind w:left="360"/>
        <w:rPr>
          <w:lang w:val="es-ES"/>
        </w:rPr>
      </w:pPr>
      <w:r w:rsidRPr="000C21C1">
        <w:rPr>
          <w:lang w:val="es-ES"/>
        </w:rPr>
        <w:br/>
        <w:t xml:space="preserve">Queremos agradecer el compromiso, el esfuerzo y la </w:t>
      </w:r>
      <w:proofErr w:type="spellStart"/>
      <w:r w:rsidRPr="000C21C1">
        <w:rPr>
          <w:lang w:val="es-ES"/>
        </w:rPr>
        <w:t>colaboracion</w:t>
      </w:r>
      <w:proofErr w:type="spellEnd"/>
      <w:r w:rsidRPr="000C21C1">
        <w:rPr>
          <w:lang w:val="es-ES"/>
        </w:rPr>
        <w:t xml:space="preserve"> de todos/as los que hicieron posible esta maravillosa </w:t>
      </w:r>
      <w:r w:rsidR="00A84313" w:rsidRPr="000C21C1">
        <w:rPr>
          <w:lang w:val="es-ES"/>
        </w:rPr>
        <w:t>UIOTEC</w:t>
      </w:r>
    </w:p>
    <w:p w14:paraId="3FC5174C" w14:textId="77777777" w:rsidR="00617F67" w:rsidRPr="00617F67" w:rsidRDefault="00617F67" w:rsidP="000C21C1">
      <w:pPr>
        <w:ind w:left="-360"/>
        <w:rPr>
          <w:lang w:val="es-ES"/>
        </w:rPr>
      </w:pPr>
    </w:p>
    <w:p w14:paraId="071B8D10" w14:textId="761C9AC9" w:rsidR="00617F67" w:rsidRPr="000C21C1" w:rsidRDefault="00617F67" w:rsidP="000C21C1">
      <w:pPr>
        <w:pStyle w:val="Prrafodelista"/>
        <w:numPr>
          <w:ilvl w:val="0"/>
          <w:numId w:val="6"/>
        </w:numPr>
        <w:ind w:left="360"/>
        <w:rPr>
          <w:lang w:val="es-ES"/>
        </w:rPr>
      </w:pPr>
      <w:r w:rsidRPr="000C21C1">
        <w:rPr>
          <w:lang w:val="es-ES"/>
        </w:rPr>
        <w:t>Con gran ORGULLO nos complace anunciar que la Unión Industrial del Oeste (</w:t>
      </w:r>
      <w:r w:rsidR="00F000D5" w:rsidRPr="000C21C1">
        <w:rPr>
          <w:lang w:val="es-ES"/>
        </w:rPr>
        <w:t>UIO</w:t>
      </w:r>
      <w:r w:rsidRPr="000C21C1">
        <w:rPr>
          <w:lang w:val="es-ES"/>
        </w:rPr>
        <w:t>), este año tiene como finalista a una integrante de nuestra comisión Directiva y socia de nuestra entidad en este maravilloso premio Bonaerense.</w:t>
      </w:r>
      <w:r w:rsidR="00A84313" w:rsidRPr="000C21C1">
        <w:rPr>
          <w:lang w:val="es-ES"/>
        </w:rPr>
        <w:t xml:space="preserve"> </w:t>
      </w:r>
      <w:r w:rsidRPr="000C21C1">
        <w:rPr>
          <w:lang w:val="es-ES"/>
        </w:rPr>
        <w:t>Las Mujeres Empresarias de la Federación Económica de Buenos Aires (MEFEBA) convocaron a para participar de la IX Edición de su tradicional «Premio Mujer Empresaria bonaerense», certamen donde reconocen la labor de mujeres empresarias y emprendedoras de la Provincia.</w:t>
      </w:r>
      <w:r w:rsidR="00A84313" w:rsidRPr="000C21C1">
        <w:rPr>
          <w:lang w:val="es-ES"/>
        </w:rPr>
        <w:t xml:space="preserve"> </w:t>
      </w:r>
      <w:r w:rsidRPr="000C21C1">
        <w:rPr>
          <w:lang w:val="es-ES"/>
        </w:rPr>
        <w:t xml:space="preserve">En esta edición, nuestra finalista, es la Lic. Georgina Barvinsk – </w:t>
      </w:r>
      <w:proofErr w:type="gramStart"/>
      <w:r w:rsidRPr="000C21C1">
        <w:rPr>
          <w:lang w:val="es-ES"/>
        </w:rPr>
        <w:t>Presidente</w:t>
      </w:r>
      <w:proofErr w:type="gramEnd"/>
      <w:r w:rsidRPr="000C21C1">
        <w:rPr>
          <w:lang w:val="es-ES"/>
        </w:rPr>
        <w:t xml:space="preserve"> de la firma Saprograf - </w:t>
      </w:r>
      <w:proofErr w:type="gramStart"/>
      <w:r w:rsidRPr="000C21C1">
        <w:rPr>
          <w:lang w:val="es-ES"/>
        </w:rPr>
        <w:t>Vicepresidente</w:t>
      </w:r>
      <w:proofErr w:type="gramEnd"/>
      <w:r w:rsidRPr="000C21C1">
        <w:rPr>
          <w:lang w:val="es-ES"/>
        </w:rPr>
        <w:t xml:space="preserve"> de la comisión directiva de </w:t>
      </w:r>
      <w:r w:rsidR="00F000D5" w:rsidRPr="000C21C1">
        <w:rPr>
          <w:lang w:val="es-ES"/>
        </w:rPr>
        <w:t>UIO</w:t>
      </w:r>
      <w:r w:rsidRPr="000C21C1">
        <w:rPr>
          <w:lang w:val="es-ES"/>
        </w:rPr>
        <w:t>, quien nos representará en la categoría * RESPONSABILIDAD SOCIAL EMPRESARIA (RSE)</w:t>
      </w:r>
    </w:p>
    <w:p w14:paraId="46FF591B" w14:textId="77777777" w:rsidR="00617F67" w:rsidRPr="00617F67" w:rsidRDefault="00617F67" w:rsidP="000C21C1">
      <w:pPr>
        <w:ind w:left="-360"/>
        <w:rPr>
          <w:lang w:val="es-ES"/>
        </w:rPr>
      </w:pPr>
    </w:p>
    <w:p w14:paraId="4D0A46C9" w14:textId="5903E696" w:rsidR="00617F67" w:rsidRPr="000C21C1" w:rsidRDefault="00617F67" w:rsidP="000C21C1">
      <w:pPr>
        <w:pStyle w:val="Prrafodelista"/>
        <w:numPr>
          <w:ilvl w:val="0"/>
          <w:numId w:val="6"/>
        </w:numPr>
        <w:ind w:left="360"/>
        <w:rPr>
          <w:lang w:val="es-ES"/>
        </w:rPr>
      </w:pPr>
      <w:r w:rsidRPr="000C21C1">
        <w:rPr>
          <w:lang w:val="es-ES"/>
        </w:rPr>
        <w:t xml:space="preserve">El miércoles 26 de noviembre miembros de la comisión directiva de </w:t>
      </w:r>
      <w:r w:rsidR="00F000D5" w:rsidRPr="000C21C1">
        <w:rPr>
          <w:lang w:val="es-ES"/>
        </w:rPr>
        <w:t>UIO</w:t>
      </w:r>
      <w:r w:rsidRPr="000C21C1">
        <w:rPr>
          <w:lang w:val="es-ES"/>
        </w:rPr>
        <w:t xml:space="preserve"> estuvieron presentes en el encuentro que llevo a cabo la UNAHUR denominado “UNAHUR, PRODUCCIÓN Y TRABAJO: LA INDUSTRIA VA A LA UNIVERSIDAD “en esta jornada, las empresas y emprendimientos tuvieron la oportunidad de recorrer las instalaciones y dialogar con expertos/as de diversas áreas de la universidad. El objetivo es que puedan conocer los servicios y capacidades que la UNAHUR pone a disposición del sector </w:t>
      </w:r>
      <w:r w:rsidRPr="000C21C1">
        <w:rPr>
          <w:lang w:val="es-ES"/>
        </w:rPr>
        <w:lastRenderedPageBreak/>
        <w:t>productivo. Identificando oportunidades de colaboración y proyectos conjuntos que impulsen el crecimiento de las empresas.</w:t>
      </w:r>
    </w:p>
    <w:p w14:paraId="1E4A6F07" w14:textId="77777777" w:rsidR="00617F67" w:rsidRPr="00617F67" w:rsidRDefault="00617F67" w:rsidP="000C21C1">
      <w:pPr>
        <w:ind w:left="-360"/>
        <w:rPr>
          <w:lang w:val="es-ES"/>
        </w:rPr>
      </w:pPr>
    </w:p>
    <w:p w14:paraId="28922980" w14:textId="77777777" w:rsidR="00617F67" w:rsidRPr="000C21C1" w:rsidRDefault="00617F67" w:rsidP="000C21C1">
      <w:pPr>
        <w:pStyle w:val="Prrafodelista"/>
        <w:numPr>
          <w:ilvl w:val="0"/>
          <w:numId w:val="6"/>
        </w:numPr>
        <w:ind w:left="360"/>
        <w:rPr>
          <w:lang w:val="es-ES"/>
        </w:rPr>
      </w:pPr>
      <w:r w:rsidRPr="000C21C1">
        <w:rPr>
          <w:lang w:val="es-ES"/>
        </w:rPr>
        <w:t xml:space="preserve">Programa Empujar: Junto a la fundación Empujar brindamos capacitaciones y acompañamiento integral a jóvenes en su camino de empleo formal </w:t>
      </w:r>
    </w:p>
    <w:p w14:paraId="0CE961BD" w14:textId="77777777" w:rsidR="00F471F1" w:rsidRPr="00617F67" w:rsidRDefault="00F471F1" w:rsidP="00463082">
      <w:pPr>
        <w:rPr>
          <w:lang w:val="es-ES"/>
        </w:rPr>
      </w:pPr>
    </w:p>
    <w:sectPr w:rsidR="00F471F1" w:rsidRPr="00617F67" w:rsidSect="003354E8">
      <w:pgSz w:w="11900" w:h="16840"/>
      <w:pgMar w:top="1134" w:right="567" w:bottom="1134" w:left="1418" w:header="266" w:footer="255"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183F"/>
    <w:multiLevelType w:val="multilevel"/>
    <w:tmpl w:val="D7A2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B22C31"/>
    <w:multiLevelType w:val="multilevel"/>
    <w:tmpl w:val="39CA5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7E7A3B"/>
    <w:multiLevelType w:val="multilevel"/>
    <w:tmpl w:val="12A82C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70F70387"/>
    <w:multiLevelType w:val="hybridMultilevel"/>
    <w:tmpl w:val="0A3A8C7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B6C2AD7"/>
    <w:multiLevelType w:val="hybridMultilevel"/>
    <w:tmpl w:val="0F1AD040"/>
    <w:lvl w:ilvl="0" w:tplc="2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BA115A0"/>
    <w:multiLevelType w:val="multilevel"/>
    <w:tmpl w:val="8464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8359770">
    <w:abstractNumId w:val="1"/>
  </w:num>
  <w:num w:numId="2" w16cid:durableId="654336816">
    <w:abstractNumId w:val="2"/>
  </w:num>
  <w:num w:numId="3" w16cid:durableId="1109202887">
    <w:abstractNumId w:val="0"/>
  </w:num>
  <w:num w:numId="4" w16cid:durableId="739985421">
    <w:abstractNumId w:val="5"/>
  </w:num>
  <w:num w:numId="5" w16cid:durableId="1937400894">
    <w:abstractNumId w:val="3"/>
  </w:num>
  <w:num w:numId="6" w16cid:durableId="792603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82"/>
    <w:rsid w:val="00004222"/>
    <w:rsid w:val="00004D36"/>
    <w:rsid w:val="00007C23"/>
    <w:rsid w:val="00011524"/>
    <w:rsid w:val="00016026"/>
    <w:rsid w:val="000211C3"/>
    <w:rsid w:val="00030EE4"/>
    <w:rsid w:val="00034811"/>
    <w:rsid w:val="00034FCD"/>
    <w:rsid w:val="00037049"/>
    <w:rsid w:val="00044E72"/>
    <w:rsid w:val="00054166"/>
    <w:rsid w:val="000569AA"/>
    <w:rsid w:val="00093813"/>
    <w:rsid w:val="000A1AA5"/>
    <w:rsid w:val="000A1BD7"/>
    <w:rsid w:val="000B0DA1"/>
    <w:rsid w:val="000C1C04"/>
    <w:rsid w:val="000C21C1"/>
    <w:rsid w:val="000C3E56"/>
    <w:rsid w:val="000C663B"/>
    <w:rsid w:val="000E1AE7"/>
    <w:rsid w:val="001019FD"/>
    <w:rsid w:val="0012118F"/>
    <w:rsid w:val="0013204B"/>
    <w:rsid w:val="00166CE1"/>
    <w:rsid w:val="00170850"/>
    <w:rsid w:val="00181870"/>
    <w:rsid w:val="001B2569"/>
    <w:rsid w:val="001B7AD3"/>
    <w:rsid w:val="001C4062"/>
    <w:rsid w:val="001C4D3F"/>
    <w:rsid w:val="001D1DB6"/>
    <w:rsid w:val="001D743F"/>
    <w:rsid w:val="001E250A"/>
    <w:rsid w:val="00200D78"/>
    <w:rsid w:val="002010AC"/>
    <w:rsid w:val="00205E87"/>
    <w:rsid w:val="002067A5"/>
    <w:rsid w:val="00206ECF"/>
    <w:rsid w:val="00207112"/>
    <w:rsid w:val="0021018C"/>
    <w:rsid w:val="0023684B"/>
    <w:rsid w:val="0024054B"/>
    <w:rsid w:val="00242702"/>
    <w:rsid w:val="00271AEE"/>
    <w:rsid w:val="0027220F"/>
    <w:rsid w:val="0027343C"/>
    <w:rsid w:val="002759F2"/>
    <w:rsid w:val="002771C9"/>
    <w:rsid w:val="00282133"/>
    <w:rsid w:val="002948D2"/>
    <w:rsid w:val="002A399F"/>
    <w:rsid w:val="002B0126"/>
    <w:rsid w:val="002B05E3"/>
    <w:rsid w:val="002B4AD8"/>
    <w:rsid w:val="002B6493"/>
    <w:rsid w:val="002B7158"/>
    <w:rsid w:val="002C08E2"/>
    <w:rsid w:val="002C17CC"/>
    <w:rsid w:val="002C34CB"/>
    <w:rsid w:val="002C74EF"/>
    <w:rsid w:val="002E1A02"/>
    <w:rsid w:val="002E32CC"/>
    <w:rsid w:val="002E45FA"/>
    <w:rsid w:val="002E6277"/>
    <w:rsid w:val="002E7F1A"/>
    <w:rsid w:val="003023ED"/>
    <w:rsid w:val="00305A71"/>
    <w:rsid w:val="003128B4"/>
    <w:rsid w:val="003354E8"/>
    <w:rsid w:val="003560B4"/>
    <w:rsid w:val="00374D22"/>
    <w:rsid w:val="003855AA"/>
    <w:rsid w:val="003927DE"/>
    <w:rsid w:val="003A69D3"/>
    <w:rsid w:val="003A7FF3"/>
    <w:rsid w:val="003B0C42"/>
    <w:rsid w:val="003B62F3"/>
    <w:rsid w:val="003C513C"/>
    <w:rsid w:val="003D5977"/>
    <w:rsid w:val="003E2321"/>
    <w:rsid w:val="003F4E6D"/>
    <w:rsid w:val="00400EE3"/>
    <w:rsid w:val="00404376"/>
    <w:rsid w:val="004162CF"/>
    <w:rsid w:val="004163B0"/>
    <w:rsid w:val="00422596"/>
    <w:rsid w:val="00432569"/>
    <w:rsid w:val="00446D96"/>
    <w:rsid w:val="00455E62"/>
    <w:rsid w:val="00463082"/>
    <w:rsid w:val="00475E0F"/>
    <w:rsid w:val="004902C9"/>
    <w:rsid w:val="004A447B"/>
    <w:rsid w:val="004C6692"/>
    <w:rsid w:val="004C6833"/>
    <w:rsid w:val="004F05D5"/>
    <w:rsid w:val="004F0E67"/>
    <w:rsid w:val="004F2D78"/>
    <w:rsid w:val="004F5DF3"/>
    <w:rsid w:val="00502ADF"/>
    <w:rsid w:val="00517BBA"/>
    <w:rsid w:val="00525DA4"/>
    <w:rsid w:val="00525E11"/>
    <w:rsid w:val="00531991"/>
    <w:rsid w:val="00532E54"/>
    <w:rsid w:val="00537372"/>
    <w:rsid w:val="00554724"/>
    <w:rsid w:val="00572374"/>
    <w:rsid w:val="00576566"/>
    <w:rsid w:val="00581A45"/>
    <w:rsid w:val="00584A1E"/>
    <w:rsid w:val="005941A9"/>
    <w:rsid w:val="00596630"/>
    <w:rsid w:val="005A5B63"/>
    <w:rsid w:val="005B7019"/>
    <w:rsid w:val="005C2FED"/>
    <w:rsid w:val="005D23BF"/>
    <w:rsid w:val="005D6040"/>
    <w:rsid w:val="005E1BE3"/>
    <w:rsid w:val="005E5585"/>
    <w:rsid w:val="005E5CF1"/>
    <w:rsid w:val="00611113"/>
    <w:rsid w:val="00617F67"/>
    <w:rsid w:val="006216E9"/>
    <w:rsid w:val="00627B37"/>
    <w:rsid w:val="00627F7B"/>
    <w:rsid w:val="006554B0"/>
    <w:rsid w:val="00674184"/>
    <w:rsid w:val="00681C82"/>
    <w:rsid w:val="006943EF"/>
    <w:rsid w:val="006A60E7"/>
    <w:rsid w:val="006B003D"/>
    <w:rsid w:val="006B1DBB"/>
    <w:rsid w:val="006E0551"/>
    <w:rsid w:val="00701385"/>
    <w:rsid w:val="0072051A"/>
    <w:rsid w:val="00745BC8"/>
    <w:rsid w:val="0074749C"/>
    <w:rsid w:val="00766ED6"/>
    <w:rsid w:val="00782BBA"/>
    <w:rsid w:val="007A70C5"/>
    <w:rsid w:val="007F4244"/>
    <w:rsid w:val="0080593E"/>
    <w:rsid w:val="00811ADC"/>
    <w:rsid w:val="00825CFA"/>
    <w:rsid w:val="0084623E"/>
    <w:rsid w:val="008558F6"/>
    <w:rsid w:val="008A3A22"/>
    <w:rsid w:val="008C4DF8"/>
    <w:rsid w:val="008D304D"/>
    <w:rsid w:val="008E5E5A"/>
    <w:rsid w:val="008E712D"/>
    <w:rsid w:val="008F763B"/>
    <w:rsid w:val="009039A5"/>
    <w:rsid w:val="00903CDC"/>
    <w:rsid w:val="00965B71"/>
    <w:rsid w:val="00970F4C"/>
    <w:rsid w:val="00977CB4"/>
    <w:rsid w:val="00984AEB"/>
    <w:rsid w:val="009874B3"/>
    <w:rsid w:val="009947BE"/>
    <w:rsid w:val="00995AF1"/>
    <w:rsid w:val="00996B90"/>
    <w:rsid w:val="009A1D29"/>
    <w:rsid w:val="009A3951"/>
    <w:rsid w:val="009A60E2"/>
    <w:rsid w:val="009B1864"/>
    <w:rsid w:val="009E69AD"/>
    <w:rsid w:val="009E7C98"/>
    <w:rsid w:val="00A016F3"/>
    <w:rsid w:val="00A1538B"/>
    <w:rsid w:val="00A21E37"/>
    <w:rsid w:val="00A27D09"/>
    <w:rsid w:val="00A35EA5"/>
    <w:rsid w:val="00A50C7D"/>
    <w:rsid w:val="00A54B76"/>
    <w:rsid w:val="00A578C6"/>
    <w:rsid w:val="00A612AA"/>
    <w:rsid w:val="00A718AE"/>
    <w:rsid w:val="00A7190A"/>
    <w:rsid w:val="00A73C47"/>
    <w:rsid w:val="00A84313"/>
    <w:rsid w:val="00A97CEE"/>
    <w:rsid w:val="00AA38D0"/>
    <w:rsid w:val="00AD46BD"/>
    <w:rsid w:val="00AF263E"/>
    <w:rsid w:val="00B00227"/>
    <w:rsid w:val="00B10357"/>
    <w:rsid w:val="00B1429E"/>
    <w:rsid w:val="00B16B9B"/>
    <w:rsid w:val="00B243DF"/>
    <w:rsid w:val="00B31172"/>
    <w:rsid w:val="00B35C74"/>
    <w:rsid w:val="00B41C0E"/>
    <w:rsid w:val="00B43070"/>
    <w:rsid w:val="00B43C80"/>
    <w:rsid w:val="00B91C3C"/>
    <w:rsid w:val="00B926BF"/>
    <w:rsid w:val="00B9467A"/>
    <w:rsid w:val="00BA3295"/>
    <w:rsid w:val="00BB37CE"/>
    <w:rsid w:val="00BB4E4C"/>
    <w:rsid w:val="00BB574E"/>
    <w:rsid w:val="00BC58E3"/>
    <w:rsid w:val="00BE18DD"/>
    <w:rsid w:val="00BF55BA"/>
    <w:rsid w:val="00BF68A1"/>
    <w:rsid w:val="00BF71B1"/>
    <w:rsid w:val="00C046BA"/>
    <w:rsid w:val="00C208D9"/>
    <w:rsid w:val="00C22A01"/>
    <w:rsid w:val="00C250D4"/>
    <w:rsid w:val="00C41184"/>
    <w:rsid w:val="00C55977"/>
    <w:rsid w:val="00C6210F"/>
    <w:rsid w:val="00C748FD"/>
    <w:rsid w:val="00C83BF5"/>
    <w:rsid w:val="00CA18CD"/>
    <w:rsid w:val="00CA618A"/>
    <w:rsid w:val="00CB3070"/>
    <w:rsid w:val="00CB37C8"/>
    <w:rsid w:val="00CC4A5E"/>
    <w:rsid w:val="00CC60FE"/>
    <w:rsid w:val="00CD2602"/>
    <w:rsid w:val="00CF6885"/>
    <w:rsid w:val="00D0202B"/>
    <w:rsid w:val="00D11916"/>
    <w:rsid w:val="00D13A8D"/>
    <w:rsid w:val="00D15D8E"/>
    <w:rsid w:val="00D16FF7"/>
    <w:rsid w:val="00D50869"/>
    <w:rsid w:val="00D5171E"/>
    <w:rsid w:val="00D705E6"/>
    <w:rsid w:val="00D70D89"/>
    <w:rsid w:val="00D7558D"/>
    <w:rsid w:val="00D91797"/>
    <w:rsid w:val="00D93076"/>
    <w:rsid w:val="00D95C9D"/>
    <w:rsid w:val="00D96879"/>
    <w:rsid w:val="00DB3E3E"/>
    <w:rsid w:val="00DC1D26"/>
    <w:rsid w:val="00DD7942"/>
    <w:rsid w:val="00DE6806"/>
    <w:rsid w:val="00E068F5"/>
    <w:rsid w:val="00E13FE5"/>
    <w:rsid w:val="00E20A69"/>
    <w:rsid w:val="00E24F22"/>
    <w:rsid w:val="00E25E27"/>
    <w:rsid w:val="00E323E3"/>
    <w:rsid w:val="00E34218"/>
    <w:rsid w:val="00E54B21"/>
    <w:rsid w:val="00E77448"/>
    <w:rsid w:val="00E84AC9"/>
    <w:rsid w:val="00E85342"/>
    <w:rsid w:val="00EA1413"/>
    <w:rsid w:val="00EA590F"/>
    <w:rsid w:val="00EB5CBC"/>
    <w:rsid w:val="00EC7002"/>
    <w:rsid w:val="00F000D5"/>
    <w:rsid w:val="00F24646"/>
    <w:rsid w:val="00F471F1"/>
    <w:rsid w:val="00F473FA"/>
    <w:rsid w:val="00F562E2"/>
    <w:rsid w:val="00F56F47"/>
    <w:rsid w:val="00F64416"/>
    <w:rsid w:val="00F706A2"/>
    <w:rsid w:val="00F85C0F"/>
    <w:rsid w:val="00F90809"/>
    <w:rsid w:val="00F95DCA"/>
    <w:rsid w:val="00FA02DC"/>
    <w:rsid w:val="00FE4386"/>
    <w:rsid w:val="00FE445F"/>
    <w:rsid w:val="00FE7E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12D8"/>
  <w15:chartTrackingRefBased/>
  <w15:docId w15:val="{9B2866C1-D3DC-46CC-8428-9B362D4A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s-A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B37"/>
  </w:style>
  <w:style w:type="paragraph" w:styleId="Ttulo1">
    <w:name w:val="heading 1"/>
    <w:basedOn w:val="Normal"/>
    <w:next w:val="Normal"/>
    <w:link w:val="Ttulo1Car"/>
    <w:uiPriority w:val="9"/>
    <w:qFormat/>
    <w:rsid w:val="00463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3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30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30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6308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63082"/>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63082"/>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63082"/>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63082"/>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30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30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308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308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6308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6308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6308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6308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6308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6308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30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3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308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6308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63082"/>
    <w:rPr>
      <w:i/>
      <w:iCs/>
      <w:color w:val="404040" w:themeColor="text1" w:themeTint="BF"/>
    </w:rPr>
  </w:style>
  <w:style w:type="paragraph" w:styleId="Prrafodelista">
    <w:name w:val="List Paragraph"/>
    <w:basedOn w:val="Normal"/>
    <w:uiPriority w:val="34"/>
    <w:qFormat/>
    <w:rsid w:val="00463082"/>
    <w:pPr>
      <w:ind w:left="720"/>
      <w:contextualSpacing/>
    </w:pPr>
  </w:style>
  <w:style w:type="character" w:styleId="nfasisintenso">
    <w:name w:val="Intense Emphasis"/>
    <w:basedOn w:val="Fuentedeprrafopredeter"/>
    <w:uiPriority w:val="21"/>
    <w:qFormat/>
    <w:rsid w:val="00463082"/>
    <w:rPr>
      <w:i/>
      <w:iCs/>
      <w:color w:val="0F4761" w:themeColor="accent1" w:themeShade="BF"/>
    </w:rPr>
  </w:style>
  <w:style w:type="paragraph" w:styleId="Citadestacada">
    <w:name w:val="Intense Quote"/>
    <w:basedOn w:val="Normal"/>
    <w:next w:val="Normal"/>
    <w:link w:val="CitadestacadaCar"/>
    <w:uiPriority w:val="30"/>
    <w:qFormat/>
    <w:rsid w:val="00463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3082"/>
    <w:rPr>
      <w:i/>
      <w:iCs/>
      <w:color w:val="0F4761" w:themeColor="accent1" w:themeShade="BF"/>
    </w:rPr>
  </w:style>
  <w:style w:type="character" w:styleId="Referenciaintensa">
    <w:name w:val="Intense Reference"/>
    <w:basedOn w:val="Fuentedeprrafopredeter"/>
    <w:uiPriority w:val="32"/>
    <w:qFormat/>
    <w:rsid w:val="00463082"/>
    <w:rPr>
      <w:b/>
      <w:bCs/>
      <w:smallCaps/>
      <w:color w:val="0F4761" w:themeColor="accent1" w:themeShade="BF"/>
      <w:spacing w:val="5"/>
    </w:rPr>
  </w:style>
  <w:style w:type="character" w:styleId="Hipervnculo">
    <w:name w:val="Hyperlink"/>
    <w:basedOn w:val="Fuentedeprrafopredeter"/>
    <w:uiPriority w:val="99"/>
    <w:unhideWhenUsed/>
    <w:rsid w:val="00617F67"/>
    <w:rPr>
      <w:color w:val="467886" w:themeColor="hyperlink"/>
      <w:u w:val="single"/>
    </w:rPr>
  </w:style>
  <w:style w:type="character" w:styleId="Mencinsinresolver">
    <w:name w:val="Unresolved Mention"/>
    <w:basedOn w:val="Fuentedeprrafopredeter"/>
    <w:uiPriority w:val="99"/>
    <w:semiHidden/>
    <w:unhideWhenUsed/>
    <w:rsid w:val="00617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3738</Words>
  <Characters>20563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Schwartzer</dc:creator>
  <cp:keywords/>
  <dc:description/>
  <cp:lastModifiedBy>Florencia</cp:lastModifiedBy>
  <cp:revision>2</cp:revision>
  <dcterms:created xsi:type="dcterms:W3CDTF">2025-11-12T15:28:00Z</dcterms:created>
  <dcterms:modified xsi:type="dcterms:W3CDTF">2025-11-12T15:28:00Z</dcterms:modified>
</cp:coreProperties>
</file>