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EB09" w14:textId="2B10D822" w:rsidR="005F7B6B" w:rsidRPr="00FC3158" w:rsidRDefault="005F7B6B" w:rsidP="00E50DB4">
      <w:pPr>
        <w:spacing w:after="0"/>
        <w:jc w:val="both"/>
        <w:rPr>
          <w:b/>
          <w:bCs/>
        </w:rPr>
      </w:pPr>
      <w:r w:rsidRPr="00FC3158">
        <w:rPr>
          <w:b/>
          <w:bCs/>
        </w:rPr>
        <w:t>Hechos Económicos Relevantes (01/04/2022 - 31/03/2023)</w:t>
      </w:r>
    </w:p>
    <w:p w14:paraId="6860BD74" w14:textId="77777777" w:rsidR="00FC3158" w:rsidRDefault="00FC3158" w:rsidP="00E50DB4">
      <w:pPr>
        <w:spacing w:after="0"/>
        <w:jc w:val="both"/>
      </w:pPr>
    </w:p>
    <w:p w14:paraId="0CEE1553" w14:textId="568DC507" w:rsidR="003A0163" w:rsidRDefault="005F7B6B" w:rsidP="00E50DB4">
      <w:pPr>
        <w:spacing w:after="0"/>
        <w:jc w:val="both"/>
      </w:pPr>
      <w:r>
        <w:t xml:space="preserve">Durante este período, la economía mundial enfrentó una combinación de presiones inflacionarias persistentes, el impacto de la invasión rusa a Ucrania, subidas agresivas de tasas de interés por parte de bancos centrales y una desaceleración del crecimiento global. </w:t>
      </w:r>
    </w:p>
    <w:p w14:paraId="7CF847DD" w14:textId="77777777" w:rsidR="00FC3158" w:rsidRDefault="00FC3158" w:rsidP="00E50DB4">
      <w:pPr>
        <w:spacing w:after="0"/>
        <w:jc w:val="both"/>
      </w:pPr>
    </w:p>
    <w:p w14:paraId="6D80E4E2" w14:textId="313E3044" w:rsidR="005F7B6B" w:rsidRDefault="005F7B6B" w:rsidP="00E50DB4">
      <w:pPr>
        <w:spacing w:after="0"/>
        <w:jc w:val="both"/>
      </w:pPr>
      <w:r>
        <w:t xml:space="preserve">Estos eventos reflejan una "recuperación rocosa" (se refiere a la inestabilidad de la recuperación tal como lo señaló el FMI en abril 2023), con inflación cayendo por </w:t>
      </w:r>
      <w:proofErr w:type="spellStart"/>
      <w:r>
        <w:t>commodities</w:t>
      </w:r>
      <w:proofErr w:type="spellEnd"/>
      <w:r>
        <w:t xml:space="preserve"> más bajos, pero riesgos geopolíticos y financieros elevados.</w:t>
      </w:r>
    </w:p>
    <w:p w14:paraId="38924804" w14:textId="77777777" w:rsidR="00FC3158" w:rsidRDefault="00FC3158" w:rsidP="00E50DB4">
      <w:pPr>
        <w:spacing w:after="0"/>
        <w:jc w:val="both"/>
      </w:pPr>
    </w:p>
    <w:p w14:paraId="36A4AA5C" w14:textId="04D9A712" w:rsidR="005F7B6B" w:rsidRDefault="005F7B6B" w:rsidP="00E50DB4">
      <w:pPr>
        <w:spacing w:after="0"/>
        <w:jc w:val="both"/>
      </w:pPr>
      <w:r>
        <w:t xml:space="preserve">Argentina experimentó alta inflación crónica, recuperación </w:t>
      </w:r>
      <w:proofErr w:type="spellStart"/>
      <w:r>
        <w:t>post-pandemia</w:t>
      </w:r>
      <w:proofErr w:type="spellEnd"/>
      <w:r>
        <w:t xml:space="preserve"> y choques climáticos, exacerbados por el contexto global (guerra en Ucrania elevó precios de energía/alimentos). El período coincidió con el gobierno de Alberto Fernández, enfocado en renegociación de deuda con FMI y control de cepo cambiario.</w:t>
      </w:r>
    </w:p>
    <w:p w14:paraId="3E217023" w14:textId="77777777" w:rsidR="00E50DB4" w:rsidRDefault="00E50DB4" w:rsidP="00E50DB4">
      <w:pPr>
        <w:spacing w:after="0"/>
        <w:jc w:val="both"/>
      </w:pPr>
    </w:p>
    <w:p w14:paraId="13474507" w14:textId="79043814" w:rsidR="00EF4AEE" w:rsidRDefault="00EF4AEE" w:rsidP="00E50DB4">
      <w:pPr>
        <w:spacing w:after="0"/>
        <w:jc w:val="both"/>
      </w:pPr>
      <w:r>
        <w:t>Detallamos algunos hechos relevantes del período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2189"/>
        <w:gridCol w:w="5411"/>
      </w:tblGrid>
      <w:tr w:rsidR="00EF4AEE" w:rsidRPr="00EF4AEE" w14:paraId="07A25048" w14:textId="77777777" w:rsidTr="00EF4AEE">
        <w:trPr>
          <w:trHeight w:val="170"/>
        </w:trPr>
        <w:tc>
          <w:tcPr>
            <w:tcW w:w="935" w:type="pct"/>
            <w:vAlign w:val="center"/>
          </w:tcPr>
          <w:p w14:paraId="1A61BAE2" w14:textId="77777777" w:rsidR="00EF4AEE" w:rsidRPr="00EF4AEE" w:rsidRDefault="00EF4AEE" w:rsidP="00E50DB4">
            <w:pPr>
              <w:spacing w:after="0"/>
              <w:jc w:val="center"/>
              <w:rPr>
                <w:b/>
                <w:sz w:val="20"/>
                <w:szCs w:val="20"/>
                <w:lang w:val="es-ES"/>
              </w:rPr>
            </w:pPr>
            <w:r w:rsidRPr="00EF4AEE">
              <w:rPr>
                <w:b/>
                <w:sz w:val="20"/>
                <w:szCs w:val="20"/>
                <w:lang w:val="es-ES"/>
              </w:rPr>
              <w:t>Trimestre</w:t>
            </w:r>
          </w:p>
        </w:tc>
        <w:tc>
          <w:tcPr>
            <w:tcW w:w="1171" w:type="pct"/>
            <w:vAlign w:val="center"/>
          </w:tcPr>
          <w:p w14:paraId="324B3EDA" w14:textId="77777777" w:rsidR="00EF4AEE" w:rsidRPr="00EF4AEE" w:rsidRDefault="00EF4AEE" w:rsidP="00E50DB4">
            <w:pPr>
              <w:spacing w:after="0"/>
              <w:jc w:val="center"/>
              <w:rPr>
                <w:b/>
                <w:sz w:val="20"/>
                <w:szCs w:val="20"/>
                <w:lang w:val="es-ES"/>
              </w:rPr>
            </w:pPr>
            <w:r w:rsidRPr="00EF4AEE">
              <w:rPr>
                <w:b/>
                <w:sz w:val="20"/>
                <w:szCs w:val="20"/>
                <w:lang w:val="es-ES"/>
              </w:rPr>
              <w:t>Evento Principal</w:t>
            </w:r>
          </w:p>
        </w:tc>
        <w:tc>
          <w:tcPr>
            <w:tcW w:w="2894" w:type="pct"/>
            <w:vAlign w:val="center"/>
          </w:tcPr>
          <w:p w14:paraId="0BB7075E" w14:textId="77777777" w:rsidR="00EF4AEE" w:rsidRPr="00EF4AEE" w:rsidRDefault="00EF4AEE" w:rsidP="00E50DB4">
            <w:pPr>
              <w:spacing w:after="0"/>
              <w:jc w:val="center"/>
              <w:rPr>
                <w:b/>
                <w:sz w:val="20"/>
                <w:szCs w:val="20"/>
                <w:lang w:val="es-ES"/>
              </w:rPr>
            </w:pPr>
            <w:r w:rsidRPr="00EF4AEE">
              <w:rPr>
                <w:b/>
                <w:sz w:val="20"/>
                <w:szCs w:val="20"/>
                <w:lang w:val="es-ES"/>
              </w:rPr>
              <w:t xml:space="preserve">Descripción </w:t>
            </w:r>
            <w:proofErr w:type="spellStart"/>
            <w:r w:rsidRPr="00EF4AEE">
              <w:rPr>
                <w:b/>
                <w:sz w:val="20"/>
                <w:szCs w:val="20"/>
                <w:lang w:val="es-ES"/>
              </w:rPr>
              <w:t>y</w:t>
            </w:r>
            <w:proofErr w:type="spellEnd"/>
            <w:r w:rsidRPr="00EF4AEE">
              <w:rPr>
                <w:b/>
                <w:sz w:val="20"/>
                <w:szCs w:val="20"/>
                <w:lang w:val="es-ES"/>
              </w:rPr>
              <w:t xml:space="preserve"> Impacto</w:t>
            </w:r>
          </w:p>
        </w:tc>
      </w:tr>
      <w:tr w:rsidR="00EF4AEE" w:rsidRPr="00EF4AEE" w14:paraId="54211DF7" w14:textId="77777777" w:rsidTr="00EF4AEE">
        <w:trPr>
          <w:trHeight w:val="1560"/>
        </w:trPr>
        <w:tc>
          <w:tcPr>
            <w:tcW w:w="935" w:type="pct"/>
            <w:vAlign w:val="center"/>
          </w:tcPr>
          <w:p w14:paraId="0F79D9DF" w14:textId="77777777" w:rsidR="00EF4AEE" w:rsidRPr="00EF4AEE" w:rsidRDefault="00EF4AEE" w:rsidP="00E50DB4">
            <w:pPr>
              <w:spacing w:after="0"/>
              <w:rPr>
                <w:b/>
                <w:sz w:val="20"/>
                <w:szCs w:val="20"/>
                <w:lang w:val="es-ES"/>
              </w:rPr>
            </w:pPr>
            <w:r w:rsidRPr="00EF4AEE">
              <w:rPr>
                <w:b/>
                <w:sz w:val="20"/>
                <w:szCs w:val="20"/>
                <w:lang w:val="es-ES"/>
              </w:rPr>
              <w:t>Q2 2022</w:t>
            </w:r>
          </w:p>
          <w:p w14:paraId="50A7EE51" w14:textId="77777777" w:rsidR="00EF4AEE" w:rsidRPr="00EF4AEE" w:rsidRDefault="00EF4AEE" w:rsidP="00E50DB4">
            <w:pPr>
              <w:spacing w:after="0"/>
              <w:rPr>
                <w:b/>
                <w:sz w:val="20"/>
                <w:szCs w:val="20"/>
                <w:lang w:val="es-ES"/>
              </w:rPr>
            </w:pPr>
            <w:r w:rsidRPr="00EF4AEE">
              <w:rPr>
                <w:b/>
                <w:sz w:val="20"/>
                <w:szCs w:val="20"/>
                <w:lang w:val="es-ES"/>
              </w:rPr>
              <w:t>(</w:t>
            </w:r>
            <w:proofErr w:type="gramStart"/>
            <w:r w:rsidRPr="00EF4AEE">
              <w:rPr>
                <w:b/>
                <w:sz w:val="20"/>
                <w:szCs w:val="20"/>
                <w:lang w:val="es-ES"/>
              </w:rPr>
              <w:t>Abril</w:t>
            </w:r>
            <w:proofErr w:type="gramEnd"/>
            <w:r w:rsidRPr="00EF4AEE">
              <w:rPr>
                <w:b/>
                <w:sz w:val="20"/>
                <w:szCs w:val="20"/>
                <w:lang w:val="es-ES"/>
              </w:rPr>
              <w:t>-</w:t>
            </w:r>
            <w:proofErr w:type="gramStart"/>
            <w:r w:rsidRPr="00EF4AEE">
              <w:rPr>
                <w:b/>
                <w:sz w:val="20"/>
                <w:szCs w:val="20"/>
                <w:lang w:val="es-ES"/>
              </w:rPr>
              <w:t>Junio</w:t>
            </w:r>
            <w:proofErr w:type="gramEnd"/>
            <w:r w:rsidRPr="00EF4AEE">
              <w:rPr>
                <w:b/>
                <w:sz w:val="20"/>
                <w:szCs w:val="20"/>
                <w:lang w:val="es-ES"/>
              </w:rPr>
              <w:t>)</w:t>
            </w:r>
          </w:p>
        </w:tc>
        <w:tc>
          <w:tcPr>
            <w:tcW w:w="1171" w:type="pct"/>
            <w:vAlign w:val="center"/>
          </w:tcPr>
          <w:p w14:paraId="4824070D" w14:textId="77777777" w:rsidR="00EF4AEE" w:rsidRPr="00EF4AEE" w:rsidRDefault="00EF4AEE" w:rsidP="00E50DB4">
            <w:pPr>
              <w:spacing w:after="0"/>
              <w:rPr>
                <w:sz w:val="20"/>
                <w:szCs w:val="20"/>
                <w:lang w:val="es-ES"/>
              </w:rPr>
            </w:pPr>
            <w:r w:rsidRPr="00EF4AEE">
              <w:rPr>
                <w:sz w:val="20"/>
                <w:szCs w:val="20"/>
                <w:lang w:val="es-ES"/>
              </w:rPr>
              <w:t>Inflación mensual en 5.1-6.0%; crecimiento</w:t>
            </w:r>
          </w:p>
          <w:p w14:paraId="292F564A" w14:textId="77777777" w:rsidR="00EF4AEE" w:rsidRPr="00EF4AEE" w:rsidRDefault="00EF4AEE" w:rsidP="00E50DB4">
            <w:pPr>
              <w:spacing w:after="0"/>
              <w:rPr>
                <w:sz w:val="20"/>
                <w:szCs w:val="20"/>
                <w:lang w:val="es-ES"/>
              </w:rPr>
            </w:pPr>
            <w:r w:rsidRPr="00EF4AEE">
              <w:rPr>
                <w:sz w:val="20"/>
                <w:szCs w:val="20"/>
                <w:lang w:val="es-ES"/>
              </w:rPr>
              <w:t>PIB 5.2% anual</w:t>
            </w:r>
          </w:p>
        </w:tc>
        <w:tc>
          <w:tcPr>
            <w:tcW w:w="2894" w:type="pct"/>
            <w:vAlign w:val="center"/>
          </w:tcPr>
          <w:p w14:paraId="716894CB" w14:textId="0879BE44" w:rsidR="00EF4AEE" w:rsidRPr="00EF4AEE" w:rsidRDefault="00EF4AEE" w:rsidP="00E50DB4">
            <w:pPr>
              <w:spacing w:after="0"/>
              <w:jc w:val="both"/>
              <w:rPr>
                <w:sz w:val="20"/>
                <w:szCs w:val="20"/>
                <w:lang w:val="es-ES"/>
              </w:rPr>
            </w:pPr>
            <w:r w:rsidRPr="00EF4AEE">
              <w:rPr>
                <w:sz w:val="20"/>
                <w:szCs w:val="20"/>
                <w:lang w:val="es-ES"/>
              </w:rPr>
              <w:t>IPC subió ~5.1% en abril (anual ~58%), impulsado por alimentos y energía. PIB creció 5.2% en 2022 total, con empleo registrado +4.6% interanual (tasa de empleo 44.2%, récord).</w:t>
            </w:r>
            <w:r w:rsidRPr="00E16CCD">
              <w:rPr>
                <w:sz w:val="20"/>
                <w:szCs w:val="20"/>
                <w:lang w:val="es-ES"/>
              </w:rPr>
              <w:t xml:space="preserve"> </w:t>
            </w:r>
            <w:r w:rsidRPr="00EF4AEE">
              <w:rPr>
                <w:sz w:val="20"/>
                <w:szCs w:val="20"/>
                <w:lang w:val="es-ES"/>
              </w:rPr>
              <w:t>Exportaciones de servicios basados en conocimiento proyectadas &gt;US$7.000M.</w:t>
            </w:r>
          </w:p>
        </w:tc>
      </w:tr>
      <w:tr w:rsidR="00EF4AEE" w:rsidRPr="00EF4AEE" w14:paraId="7F57BBF2" w14:textId="77777777" w:rsidTr="00EF4AEE">
        <w:trPr>
          <w:trHeight w:val="1280"/>
        </w:trPr>
        <w:tc>
          <w:tcPr>
            <w:tcW w:w="935" w:type="pct"/>
            <w:vAlign w:val="center"/>
          </w:tcPr>
          <w:p w14:paraId="079633C8" w14:textId="77777777" w:rsidR="00EF4AEE" w:rsidRPr="00EF4AEE" w:rsidRDefault="00EF4AEE" w:rsidP="00E50DB4">
            <w:pPr>
              <w:spacing w:after="0"/>
              <w:rPr>
                <w:b/>
                <w:sz w:val="20"/>
                <w:szCs w:val="20"/>
                <w:lang w:val="es-ES"/>
              </w:rPr>
            </w:pPr>
            <w:r w:rsidRPr="00EF4AEE">
              <w:rPr>
                <w:b/>
                <w:sz w:val="20"/>
                <w:szCs w:val="20"/>
                <w:lang w:val="es-ES"/>
              </w:rPr>
              <w:t>Q3 2022</w:t>
            </w:r>
          </w:p>
          <w:p w14:paraId="284D3C93" w14:textId="77777777" w:rsidR="00EF4AEE" w:rsidRPr="00EF4AEE" w:rsidRDefault="00EF4AEE" w:rsidP="00E50DB4">
            <w:pPr>
              <w:spacing w:after="0"/>
              <w:rPr>
                <w:b/>
                <w:sz w:val="20"/>
                <w:szCs w:val="20"/>
                <w:lang w:val="es-ES"/>
              </w:rPr>
            </w:pPr>
            <w:r w:rsidRPr="00EF4AEE">
              <w:rPr>
                <w:b/>
                <w:sz w:val="20"/>
                <w:szCs w:val="20"/>
                <w:lang w:val="es-ES"/>
              </w:rPr>
              <w:t>(Julio-</w:t>
            </w:r>
            <w:proofErr w:type="gramStart"/>
            <w:r w:rsidRPr="00EF4AEE">
              <w:rPr>
                <w:b/>
                <w:sz w:val="20"/>
                <w:szCs w:val="20"/>
                <w:lang w:val="es-ES"/>
              </w:rPr>
              <w:t>Septiembre</w:t>
            </w:r>
            <w:proofErr w:type="gramEnd"/>
            <w:r w:rsidRPr="00EF4AEE">
              <w:rPr>
                <w:b/>
                <w:sz w:val="20"/>
                <w:szCs w:val="20"/>
                <w:lang w:val="es-ES"/>
              </w:rPr>
              <w:t>)</w:t>
            </w:r>
          </w:p>
        </w:tc>
        <w:tc>
          <w:tcPr>
            <w:tcW w:w="1171" w:type="pct"/>
            <w:vAlign w:val="center"/>
          </w:tcPr>
          <w:p w14:paraId="1037EACC" w14:textId="77777777" w:rsidR="00EF4AEE" w:rsidRPr="00EF4AEE" w:rsidRDefault="00EF4AEE" w:rsidP="00E50DB4">
            <w:pPr>
              <w:spacing w:after="0"/>
              <w:rPr>
                <w:sz w:val="20"/>
                <w:szCs w:val="20"/>
                <w:lang w:val="es-ES"/>
              </w:rPr>
            </w:pPr>
            <w:r w:rsidRPr="00EF4AEE">
              <w:rPr>
                <w:sz w:val="20"/>
                <w:szCs w:val="20"/>
                <w:lang w:val="es-ES"/>
              </w:rPr>
              <w:t>Aceleración inflacionaria y salida de Martín Guzmán</w:t>
            </w:r>
          </w:p>
        </w:tc>
        <w:tc>
          <w:tcPr>
            <w:tcW w:w="2894" w:type="pct"/>
            <w:vAlign w:val="center"/>
          </w:tcPr>
          <w:p w14:paraId="4C3744D0" w14:textId="77777777" w:rsidR="00EF4AEE" w:rsidRPr="00EF4AEE" w:rsidRDefault="00EF4AEE" w:rsidP="00E50DB4">
            <w:pPr>
              <w:spacing w:after="0"/>
              <w:jc w:val="both"/>
              <w:rPr>
                <w:sz w:val="20"/>
                <w:szCs w:val="20"/>
                <w:lang w:val="es-ES"/>
              </w:rPr>
            </w:pPr>
            <w:r w:rsidRPr="00EF4AEE">
              <w:rPr>
                <w:sz w:val="20"/>
                <w:szCs w:val="20"/>
                <w:lang w:val="es-ES"/>
              </w:rPr>
              <w:t xml:space="preserve">Inflación mensual ~6-7%; anual superó 80%. Renuncia del ministro Guzmán (julio) por tensiones con FMI; Silvina </w:t>
            </w:r>
            <w:proofErr w:type="spellStart"/>
            <w:r w:rsidRPr="00EF4AEE">
              <w:rPr>
                <w:sz w:val="20"/>
                <w:szCs w:val="20"/>
                <w:lang w:val="es-ES"/>
              </w:rPr>
              <w:t>Batakis</w:t>
            </w:r>
            <w:proofErr w:type="spellEnd"/>
            <w:r w:rsidRPr="00EF4AEE">
              <w:rPr>
                <w:sz w:val="20"/>
                <w:szCs w:val="20"/>
                <w:lang w:val="es-ES"/>
              </w:rPr>
              <w:t xml:space="preserve"> asumió brevemente. Déficit fiscal primario -2.4% del PIB (cumplió meta FMI gracias a "dólar soja").</w:t>
            </w:r>
          </w:p>
        </w:tc>
      </w:tr>
      <w:tr w:rsidR="00EF4AEE" w:rsidRPr="00EF4AEE" w14:paraId="36171B88" w14:textId="77777777" w:rsidTr="00EF4AEE">
        <w:trPr>
          <w:trHeight w:val="1280"/>
        </w:trPr>
        <w:tc>
          <w:tcPr>
            <w:tcW w:w="935" w:type="pct"/>
            <w:vAlign w:val="center"/>
          </w:tcPr>
          <w:p w14:paraId="11C93A08" w14:textId="77777777" w:rsidR="00EF4AEE" w:rsidRPr="00EF4AEE" w:rsidRDefault="00EF4AEE" w:rsidP="00E50DB4">
            <w:pPr>
              <w:spacing w:after="0"/>
              <w:rPr>
                <w:b/>
                <w:sz w:val="20"/>
                <w:szCs w:val="20"/>
                <w:lang w:val="es-ES"/>
              </w:rPr>
            </w:pPr>
            <w:r w:rsidRPr="00EF4AEE">
              <w:rPr>
                <w:b/>
                <w:sz w:val="20"/>
                <w:szCs w:val="20"/>
                <w:lang w:val="es-ES"/>
              </w:rPr>
              <w:t>Q4 2022</w:t>
            </w:r>
          </w:p>
          <w:p w14:paraId="6FC3F981" w14:textId="77777777" w:rsidR="00EF4AEE" w:rsidRPr="00EF4AEE" w:rsidRDefault="00EF4AEE" w:rsidP="00E50DB4">
            <w:pPr>
              <w:spacing w:after="0"/>
              <w:rPr>
                <w:b/>
                <w:sz w:val="20"/>
                <w:szCs w:val="20"/>
                <w:lang w:val="es-ES"/>
              </w:rPr>
            </w:pPr>
            <w:r w:rsidRPr="00EF4AEE">
              <w:rPr>
                <w:b/>
                <w:sz w:val="20"/>
                <w:szCs w:val="20"/>
                <w:lang w:val="es-ES"/>
              </w:rPr>
              <w:t>(</w:t>
            </w:r>
            <w:proofErr w:type="gramStart"/>
            <w:r w:rsidRPr="00EF4AEE">
              <w:rPr>
                <w:b/>
                <w:sz w:val="20"/>
                <w:szCs w:val="20"/>
                <w:lang w:val="es-ES"/>
              </w:rPr>
              <w:t>Octubre</w:t>
            </w:r>
            <w:proofErr w:type="gramEnd"/>
            <w:r w:rsidRPr="00EF4AEE">
              <w:rPr>
                <w:b/>
                <w:sz w:val="20"/>
                <w:szCs w:val="20"/>
                <w:lang w:val="es-ES"/>
              </w:rPr>
              <w:t>-</w:t>
            </w:r>
            <w:proofErr w:type="gramStart"/>
            <w:r w:rsidRPr="00EF4AEE">
              <w:rPr>
                <w:b/>
                <w:sz w:val="20"/>
                <w:szCs w:val="20"/>
                <w:lang w:val="es-ES"/>
              </w:rPr>
              <w:t>Diciembre</w:t>
            </w:r>
            <w:proofErr w:type="gramEnd"/>
            <w:r w:rsidRPr="00EF4AEE">
              <w:rPr>
                <w:b/>
                <w:sz w:val="20"/>
                <w:szCs w:val="20"/>
                <w:lang w:val="es-ES"/>
              </w:rPr>
              <w:t>)</w:t>
            </w:r>
          </w:p>
        </w:tc>
        <w:tc>
          <w:tcPr>
            <w:tcW w:w="1171" w:type="pct"/>
            <w:vAlign w:val="center"/>
          </w:tcPr>
          <w:p w14:paraId="214F386E" w14:textId="77777777" w:rsidR="00EF4AEE" w:rsidRPr="00EF4AEE" w:rsidRDefault="00EF4AEE" w:rsidP="00E50DB4">
            <w:pPr>
              <w:spacing w:after="0"/>
              <w:rPr>
                <w:sz w:val="20"/>
                <w:szCs w:val="20"/>
                <w:lang w:val="es-ES"/>
              </w:rPr>
            </w:pPr>
            <w:r w:rsidRPr="00EF4AEE">
              <w:rPr>
                <w:sz w:val="20"/>
                <w:szCs w:val="20"/>
                <w:lang w:val="es-ES"/>
              </w:rPr>
              <w:t>Designación de Sergio Massa y Ley de Bases</w:t>
            </w:r>
          </w:p>
        </w:tc>
        <w:tc>
          <w:tcPr>
            <w:tcW w:w="2894" w:type="pct"/>
            <w:vAlign w:val="center"/>
          </w:tcPr>
          <w:p w14:paraId="77348D21" w14:textId="77777777" w:rsidR="00EF4AEE" w:rsidRPr="00EF4AEE" w:rsidRDefault="00EF4AEE" w:rsidP="00E50DB4">
            <w:pPr>
              <w:spacing w:after="0"/>
              <w:jc w:val="both"/>
              <w:rPr>
                <w:sz w:val="20"/>
                <w:szCs w:val="20"/>
                <w:lang w:val="es-ES"/>
              </w:rPr>
            </w:pPr>
            <w:r w:rsidRPr="00EF4AEE">
              <w:rPr>
                <w:sz w:val="20"/>
                <w:szCs w:val="20"/>
                <w:lang w:val="es-ES"/>
              </w:rPr>
              <w:t xml:space="preserve">Massa asumió Economía (agosto, efecto en Q4); impulsó "dólar soja" para retenciones. Inflación anual cerró en 94.8%. PIB cayó en Q4, con </w:t>
            </w:r>
            <w:proofErr w:type="spellStart"/>
            <w:r w:rsidRPr="00EF4AEE">
              <w:rPr>
                <w:sz w:val="20"/>
                <w:szCs w:val="20"/>
                <w:lang w:val="es-ES"/>
              </w:rPr>
              <w:t>carry-over</w:t>
            </w:r>
            <w:proofErr w:type="spellEnd"/>
            <w:r w:rsidRPr="00EF4AEE">
              <w:rPr>
                <w:sz w:val="20"/>
                <w:szCs w:val="20"/>
                <w:lang w:val="es-ES"/>
              </w:rPr>
              <w:t xml:space="preserve"> negativo para 2023. Pobreza en 39.2%, indigencia 8.1%.</w:t>
            </w:r>
          </w:p>
        </w:tc>
      </w:tr>
      <w:tr w:rsidR="00EF4AEE" w:rsidRPr="00EF4AEE" w14:paraId="700E7DBF" w14:textId="77777777" w:rsidTr="00EF4AEE">
        <w:trPr>
          <w:trHeight w:val="1698"/>
        </w:trPr>
        <w:tc>
          <w:tcPr>
            <w:tcW w:w="935" w:type="pct"/>
            <w:vAlign w:val="center"/>
          </w:tcPr>
          <w:p w14:paraId="4F8814FD" w14:textId="77777777" w:rsidR="00EF4AEE" w:rsidRPr="00EF4AEE" w:rsidRDefault="00EF4AEE" w:rsidP="00E50DB4">
            <w:pPr>
              <w:spacing w:after="0"/>
              <w:rPr>
                <w:b/>
                <w:sz w:val="20"/>
                <w:szCs w:val="20"/>
                <w:lang w:val="es-ES"/>
              </w:rPr>
            </w:pPr>
            <w:r w:rsidRPr="00EF4AEE">
              <w:rPr>
                <w:b/>
                <w:sz w:val="20"/>
                <w:szCs w:val="20"/>
                <w:lang w:val="es-ES"/>
              </w:rPr>
              <w:t>Q1 2023</w:t>
            </w:r>
          </w:p>
          <w:p w14:paraId="3299FCA9" w14:textId="77777777" w:rsidR="00EF4AEE" w:rsidRPr="00EF4AEE" w:rsidRDefault="00EF4AEE" w:rsidP="00E50DB4">
            <w:pPr>
              <w:spacing w:after="0"/>
              <w:rPr>
                <w:b/>
                <w:sz w:val="20"/>
                <w:szCs w:val="20"/>
                <w:lang w:val="es-ES"/>
              </w:rPr>
            </w:pPr>
            <w:r w:rsidRPr="00EF4AEE">
              <w:rPr>
                <w:b/>
                <w:sz w:val="20"/>
                <w:szCs w:val="20"/>
                <w:lang w:val="es-ES"/>
              </w:rPr>
              <w:t>(</w:t>
            </w:r>
            <w:proofErr w:type="gramStart"/>
            <w:r w:rsidRPr="00EF4AEE">
              <w:rPr>
                <w:b/>
                <w:sz w:val="20"/>
                <w:szCs w:val="20"/>
                <w:lang w:val="es-ES"/>
              </w:rPr>
              <w:t>Enero</w:t>
            </w:r>
            <w:proofErr w:type="gramEnd"/>
            <w:r w:rsidRPr="00EF4AEE">
              <w:rPr>
                <w:b/>
                <w:sz w:val="20"/>
                <w:szCs w:val="20"/>
                <w:lang w:val="es-ES"/>
              </w:rPr>
              <w:t>-</w:t>
            </w:r>
            <w:proofErr w:type="gramStart"/>
            <w:r w:rsidRPr="00EF4AEE">
              <w:rPr>
                <w:b/>
                <w:sz w:val="20"/>
                <w:szCs w:val="20"/>
                <w:lang w:val="es-ES"/>
              </w:rPr>
              <w:t>Marzo</w:t>
            </w:r>
            <w:proofErr w:type="gramEnd"/>
            <w:r w:rsidRPr="00EF4AEE">
              <w:rPr>
                <w:b/>
                <w:sz w:val="20"/>
                <w:szCs w:val="20"/>
                <w:lang w:val="es-ES"/>
              </w:rPr>
              <w:t>)</w:t>
            </w:r>
          </w:p>
        </w:tc>
        <w:tc>
          <w:tcPr>
            <w:tcW w:w="1171" w:type="pct"/>
            <w:vAlign w:val="center"/>
          </w:tcPr>
          <w:p w14:paraId="6C365FD6" w14:textId="77777777" w:rsidR="00EF4AEE" w:rsidRPr="00EF4AEE" w:rsidRDefault="00EF4AEE" w:rsidP="00E50DB4">
            <w:pPr>
              <w:spacing w:after="0"/>
              <w:rPr>
                <w:sz w:val="20"/>
                <w:szCs w:val="20"/>
                <w:lang w:val="es-ES"/>
              </w:rPr>
            </w:pPr>
            <w:r w:rsidRPr="00EF4AEE">
              <w:rPr>
                <w:sz w:val="20"/>
                <w:szCs w:val="20"/>
                <w:lang w:val="es-ES"/>
              </w:rPr>
              <w:t>Sequía histórica e inflación &gt;100% anual</w:t>
            </w:r>
          </w:p>
        </w:tc>
        <w:tc>
          <w:tcPr>
            <w:tcW w:w="2894" w:type="pct"/>
            <w:vAlign w:val="center"/>
          </w:tcPr>
          <w:p w14:paraId="7D077399" w14:textId="77777777" w:rsidR="00EF4AEE" w:rsidRPr="00EF4AEE" w:rsidRDefault="00EF4AEE" w:rsidP="00E50DB4">
            <w:pPr>
              <w:spacing w:after="0"/>
              <w:jc w:val="both"/>
              <w:rPr>
                <w:sz w:val="20"/>
                <w:szCs w:val="20"/>
                <w:lang w:val="es-ES"/>
              </w:rPr>
            </w:pPr>
            <w:r w:rsidRPr="00EF4AEE">
              <w:rPr>
                <w:sz w:val="20"/>
                <w:szCs w:val="20"/>
                <w:lang w:val="es-ES"/>
              </w:rPr>
              <w:t>Sequía (peor en historia) redujo exportaciones agro</w:t>
            </w:r>
          </w:p>
          <w:p w14:paraId="43ECD75A" w14:textId="253ADFD0" w:rsidR="00EF4AEE" w:rsidRPr="00EF4AEE" w:rsidRDefault="00EF4AEE" w:rsidP="00E50DB4">
            <w:pPr>
              <w:spacing w:after="0"/>
              <w:jc w:val="both"/>
              <w:rPr>
                <w:sz w:val="20"/>
                <w:szCs w:val="20"/>
                <w:lang w:val="es-ES"/>
              </w:rPr>
            </w:pPr>
            <w:r w:rsidRPr="00EF4AEE">
              <w:rPr>
                <w:sz w:val="20"/>
                <w:szCs w:val="20"/>
                <w:lang w:val="es-ES"/>
              </w:rPr>
              <w:t>~US$4.210M vs. 2022; PIB sin agro creció, pero total proyectado -2.5%. Inflación marzo 7.7% mensual (anual &gt;100%, primera vez desde 1990); núcleo 7.2%. Tasa de empleo récord 44.6%, desocupación 6.2%. Déficit energético bajó por</w:t>
            </w:r>
            <w:r w:rsidRPr="00E16CCD">
              <w:rPr>
                <w:sz w:val="20"/>
                <w:szCs w:val="20"/>
                <w:lang w:val="es-ES"/>
              </w:rPr>
              <w:t xml:space="preserve"> </w:t>
            </w:r>
            <w:r w:rsidRPr="00EF4AEE">
              <w:rPr>
                <w:sz w:val="20"/>
                <w:szCs w:val="20"/>
                <w:lang w:val="es-ES"/>
              </w:rPr>
              <w:t>exportaciones de combustibles (+9.9% petróleo).</w:t>
            </w:r>
          </w:p>
        </w:tc>
      </w:tr>
    </w:tbl>
    <w:p w14:paraId="45896175" w14:textId="77777777" w:rsidR="00E16CCD" w:rsidRDefault="00E16CCD" w:rsidP="00E50DB4">
      <w:pPr>
        <w:spacing w:after="0"/>
        <w:jc w:val="both"/>
      </w:pPr>
    </w:p>
    <w:p w14:paraId="76BDFC75" w14:textId="1762D4C6" w:rsidR="00EF4AEE" w:rsidRDefault="00EF4AEE" w:rsidP="00E50DB4">
      <w:pPr>
        <w:spacing w:after="0"/>
        <w:jc w:val="both"/>
      </w:pPr>
      <w:r>
        <w:t xml:space="preserve">En resumen, globalmente predominó la lucha contra la inflación con costos de crecimiento; en Argentina, la volatilidad interna (inflación, sequía) agravó vulnerabilidades estructurales, aunque hubo avances en empleo y exportaciones no tradicionales. </w:t>
      </w:r>
    </w:p>
    <w:p w14:paraId="333DFEF5" w14:textId="77777777" w:rsidR="00E50DB4" w:rsidRDefault="00E50DB4" w:rsidP="00E50DB4">
      <w:pPr>
        <w:spacing w:after="0"/>
        <w:jc w:val="both"/>
      </w:pPr>
    </w:p>
    <w:p w14:paraId="1A97F6BE" w14:textId="77777777" w:rsidR="00A31221" w:rsidRDefault="00A31221" w:rsidP="00E50DB4">
      <w:pPr>
        <w:spacing w:after="0"/>
        <w:jc w:val="both"/>
      </w:pPr>
      <w:r>
        <w:t xml:space="preserve">En el plano </w:t>
      </w:r>
      <w:proofErr w:type="spellStart"/>
      <w:proofErr w:type="gramStart"/>
      <w:r>
        <w:t>industrial,d</w:t>
      </w:r>
      <w:r w:rsidRPr="00A31221">
        <w:t>urante</w:t>
      </w:r>
      <w:proofErr w:type="spellEnd"/>
      <w:proofErr w:type="gramEnd"/>
      <w:r w:rsidRPr="00A31221">
        <w:t xml:space="preserve"> el período fiscal abril 2022 - marzo 2023, la industria manufacturera argentina mostró un comportamiento </w:t>
      </w:r>
      <w:proofErr w:type="gramStart"/>
      <w:r w:rsidRPr="00A31221">
        <w:t>mixto</w:t>
      </w:r>
      <w:proofErr w:type="gramEnd"/>
      <w:r w:rsidRPr="00A31221">
        <w:t xml:space="preserve"> pero predominantemente expansivo, impulsado por la recuperación </w:t>
      </w:r>
      <w:proofErr w:type="spellStart"/>
      <w:r w:rsidRPr="00A31221">
        <w:t>post-pandemia</w:t>
      </w:r>
      <w:proofErr w:type="spellEnd"/>
      <w:r w:rsidRPr="00A31221">
        <w:t xml:space="preserve"> y el crecimiento de sectores clave como alimentos, automotriz y siderurgia. </w:t>
      </w:r>
    </w:p>
    <w:p w14:paraId="5ACC421D" w14:textId="77777777" w:rsidR="00E50DB4" w:rsidRDefault="00E50DB4" w:rsidP="00E50DB4">
      <w:pPr>
        <w:spacing w:after="0"/>
        <w:jc w:val="both"/>
      </w:pPr>
    </w:p>
    <w:p w14:paraId="32F831C0" w14:textId="77777777" w:rsidR="00A31221" w:rsidRDefault="00A31221" w:rsidP="00E50DB4">
      <w:pPr>
        <w:spacing w:after="0"/>
        <w:jc w:val="both"/>
      </w:pPr>
      <w:r w:rsidRPr="00A31221">
        <w:t>Según el Índice de Producción Industrial Manufacturero (IPIM) del INDEC, el sector acumuló un crecimiento interanual del 2,5% en el primer cuatrimestre de 2023 (enero-</w:t>
      </w:r>
      <w:r w:rsidRPr="00A31221">
        <w:lastRenderedPageBreak/>
        <w:t xml:space="preserve">abril 2023, que solapa con el período), alcanzando niveles no vistos desde al menos 2017. </w:t>
      </w:r>
    </w:p>
    <w:p w14:paraId="7324B9D9" w14:textId="77777777" w:rsidR="00A31221" w:rsidRDefault="00A31221" w:rsidP="00E50DB4">
      <w:pPr>
        <w:spacing w:after="0"/>
        <w:jc w:val="both"/>
      </w:pPr>
      <w:r w:rsidRPr="00A31221">
        <w:t xml:space="preserve">Sin embargo, el contexto global (inflación y guerra en Ucrania) y local (sequía en Q4 2022-Q1 2023) generaron volatilidades, con caídas en rubros sensibles a </w:t>
      </w:r>
      <w:proofErr w:type="spellStart"/>
      <w:r w:rsidRPr="00A31221">
        <w:t>commodities</w:t>
      </w:r>
      <w:proofErr w:type="spellEnd"/>
      <w:r w:rsidRPr="00A31221">
        <w:t>.</w:t>
      </w:r>
    </w:p>
    <w:p w14:paraId="52E0308C" w14:textId="77777777" w:rsidR="00E50DB4" w:rsidRDefault="00E50DB4" w:rsidP="00E50DB4">
      <w:pPr>
        <w:spacing w:after="0"/>
        <w:jc w:val="both"/>
      </w:pPr>
    </w:p>
    <w:p w14:paraId="70CCE439" w14:textId="62FAB922" w:rsidR="00A31221" w:rsidRDefault="00A31221" w:rsidP="00E50DB4">
      <w:pPr>
        <w:spacing w:after="0"/>
        <w:jc w:val="both"/>
      </w:pPr>
      <w:r w:rsidRPr="00A31221">
        <w:t xml:space="preserve">El empleo industrial formal creció de manera sostenida (+4% </w:t>
      </w:r>
      <w:proofErr w:type="spellStart"/>
      <w:r w:rsidRPr="00A31221">
        <w:t>i.a</w:t>
      </w:r>
      <w:proofErr w:type="spellEnd"/>
      <w:r w:rsidRPr="00A31221">
        <w:t xml:space="preserve">. en marzo 2023 vs. 2022), acumulando 34 meses de expansión intermensual, con más de 1,19 millones de puestos registrados. La utilización de la capacidad instalada se mantuvo por encima del 70% en promedio, reflejando resiliencia pese a presiones inflacionarias </w:t>
      </w:r>
    </w:p>
    <w:p w14:paraId="614E1979" w14:textId="77777777" w:rsidR="00E50DB4" w:rsidRDefault="00E50DB4" w:rsidP="00E50DB4">
      <w:pPr>
        <w:spacing w:after="0"/>
        <w:jc w:val="both"/>
      </w:pPr>
    </w:p>
    <w:p w14:paraId="12E062C8" w14:textId="04785122" w:rsidR="00A31221" w:rsidRDefault="0021470A" w:rsidP="00E50DB4">
      <w:pPr>
        <w:spacing w:after="0"/>
        <w:jc w:val="both"/>
      </w:pPr>
      <w:r>
        <w:t>Detallamos algunos datos significativos del período: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9"/>
        <w:gridCol w:w="2692"/>
        <w:gridCol w:w="1890"/>
        <w:gridCol w:w="1408"/>
        <w:gridCol w:w="1519"/>
      </w:tblGrid>
      <w:tr w:rsidR="0021470A" w:rsidRPr="0021470A" w14:paraId="449D9387" w14:textId="77777777" w:rsidTr="0021470A">
        <w:trPr>
          <w:trHeight w:val="20"/>
        </w:trPr>
        <w:tc>
          <w:tcPr>
            <w:tcW w:w="984" w:type="pct"/>
            <w:noWrap/>
            <w:vAlign w:val="center"/>
            <w:hideMark/>
          </w:tcPr>
          <w:p w14:paraId="0959BB76" w14:textId="77777777" w:rsidR="0021470A" w:rsidRPr="0021470A" w:rsidRDefault="0021470A" w:rsidP="00E50DB4">
            <w:pPr>
              <w:spacing w:after="0"/>
              <w:jc w:val="center"/>
              <w:rPr>
                <w:rFonts w:eastAsia="Times New Roman" w:cs="Arial"/>
                <w:b/>
                <w:bCs/>
                <w:color w:val="000000"/>
                <w:kern w:val="0"/>
                <w:sz w:val="20"/>
                <w:szCs w:val="20"/>
                <w:lang w:eastAsia="es-AR"/>
                <w14:ligatures w14:val="none"/>
              </w:rPr>
            </w:pPr>
            <w:r w:rsidRPr="0021470A">
              <w:rPr>
                <w:rFonts w:eastAsia="Times New Roman" w:cs="Arial"/>
                <w:b/>
                <w:bCs/>
                <w:color w:val="000000"/>
                <w:kern w:val="0"/>
                <w:sz w:val="20"/>
                <w:szCs w:val="20"/>
                <w:lang w:eastAsia="es-AR"/>
                <w14:ligatures w14:val="none"/>
              </w:rPr>
              <w:t>Trimestre</w:t>
            </w:r>
          </w:p>
          <w:p w14:paraId="30CC7CA6" w14:textId="77777777" w:rsidR="0021470A" w:rsidRPr="0021470A" w:rsidRDefault="0021470A" w:rsidP="00E50DB4">
            <w:pPr>
              <w:spacing w:after="0"/>
              <w:jc w:val="center"/>
              <w:rPr>
                <w:rFonts w:ascii="Aptos Narrow" w:eastAsia="Times New Roman" w:hAnsi="Aptos Narrow" w:cs="Times New Roman"/>
                <w:color w:val="000000"/>
                <w:kern w:val="0"/>
                <w:sz w:val="22"/>
                <w:szCs w:val="15"/>
                <w:lang w:eastAsia="es-AR"/>
                <w14:ligatures w14:val="none"/>
              </w:rPr>
            </w:pPr>
          </w:p>
        </w:tc>
        <w:tc>
          <w:tcPr>
            <w:tcW w:w="1440" w:type="pct"/>
            <w:vAlign w:val="center"/>
            <w:hideMark/>
          </w:tcPr>
          <w:p w14:paraId="2FD6B463" w14:textId="77777777" w:rsidR="0021470A" w:rsidRPr="0021470A" w:rsidRDefault="0021470A" w:rsidP="00E50DB4">
            <w:pPr>
              <w:spacing w:after="0"/>
              <w:jc w:val="center"/>
              <w:rPr>
                <w:rFonts w:eastAsia="Times New Roman" w:cs="Arial"/>
                <w:b/>
                <w:bCs/>
                <w:color w:val="000000"/>
                <w:kern w:val="0"/>
                <w:sz w:val="20"/>
                <w:szCs w:val="20"/>
                <w:lang w:eastAsia="es-AR"/>
                <w14:ligatures w14:val="none"/>
              </w:rPr>
            </w:pPr>
            <w:r w:rsidRPr="0021470A">
              <w:rPr>
                <w:rFonts w:eastAsia="Times New Roman" w:cs="Arial"/>
                <w:b/>
                <w:bCs/>
                <w:color w:val="000000"/>
                <w:kern w:val="0"/>
                <w:sz w:val="20"/>
                <w:szCs w:val="15"/>
                <w:lang w:eastAsia="es-AR"/>
                <w14:ligatures w14:val="none"/>
              </w:rPr>
              <w:t>Período</w:t>
            </w:r>
          </w:p>
        </w:tc>
        <w:tc>
          <w:tcPr>
            <w:tcW w:w="1011" w:type="pct"/>
            <w:vAlign w:val="center"/>
            <w:hideMark/>
          </w:tcPr>
          <w:p w14:paraId="5AD309C3" w14:textId="77777777" w:rsidR="0021470A" w:rsidRPr="0021470A" w:rsidRDefault="0021470A" w:rsidP="00E50DB4">
            <w:pPr>
              <w:spacing w:after="0"/>
              <w:jc w:val="center"/>
              <w:rPr>
                <w:rFonts w:eastAsia="Times New Roman" w:cs="Arial"/>
                <w:b/>
                <w:bCs/>
                <w:color w:val="000000"/>
                <w:kern w:val="0"/>
                <w:sz w:val="20"/>
                <w:szCs w:val="20"/>
                <w:lang w:eastAsia="es-AR"/>
                <w14:ligatures w14:val="none"/>
              </w:rPr>
            </w:pPr>
            <w:r w:rsidRPr="0021470A">
              <w:rPr>
                <w:rFonts w:eastAsia="Times New Roman" w:cs="Arial"/>
                <w:b/>
                <w:bCs/>
                <w:color w:val="000000"/>
                <w:kern w:val="0"/>
                <w:sz w:val="20"/>
                <w:szCs w:val="15"/>
                <w:lang w:eastAsia="es-AR"/>
                <w14:ligatures w14:val="none"/>
              </w:rPr>
              <w:t>Variación General IPIM (</w:t>
            </w:r>
            <w:proofErr w:type="spellStart"/>
            <w:r w:rsidRPr="0021470A">
              <w:rPr>
                <w:rFonts w:eastAsia="Times New Roman" w:cs="Arial"/>
                <w:b/>
                <w:bCs/>
                <w:color w:val="000000"/>
                <w:kern w:val="0"/>
                <w:sz w:val="20"/>
                <w:szCs w:val="15"/>
                <w:lang w:eastAsia="es-AR"/>
                <w14:ligatures w14:val="none"/>
              </w:rPr>
              <w:t>i.a</w:t>
            </w:r>
            <w:proofErr w:type="spellEnd"/>
            <w:r w:rsidRPr="0021470A">
              <w:rPr>
                <w:rFonts w:eastAsia="Times New Roman" w:cs="Arial"/>
                <w:b/>
                <w:bCs/>
                <w:color w:val="000000"/>
                <w:kern w:val="0"/>
                <w:sz w:val="20"/>
                <w:szCs w:val="15"/>
                <w:lang w:eastAsia="es-AR"/>
                <w14:ligatures w14:val="none"/>
              </w:rPr>
              <w:t>.)</w:t>
            </w:r>
          </w:p>
        </w:tc>
        <w:tc>
          <w:tcPr>
            <w:tcW w:w="753" w:type="pct"/>
            <w:vAlign w:val="center"/>
            <w:hideMark/>
          </w:tcPr>
          <w:p w14:paraId="6D2A68D6" w14:textId="77777777" w:rsidR="0021470A" w:rsidRPr="0021470A" w:rsidRDefault="0021470A" w:rsidP="00E50DB4">
            <w:pPr>
              <w:spacing w:after="0"/>
              <w:jc w:val="center"/>
              <w:rPr>
                <w:rFonts w:eastAsia="Times New Roman" w:cs="Arial"/>
                <w:b/>
                <w:bCs/>
                <w:color w:val="000000"/>
                <w:kern w:val="0"/>
                <w:sz w:val="20"/>
                <w:szCs w:val="20"/>
                <w:lang w:eastAsia="es-AR"/>
                <w14:ligatures w14:val="none"/>
              </w:rPr>
            </w:pPr>
            <w:r w:rsidRPr="0021470A">
              <w:rPr>
                <w:rFonts w:eastAsia="Times New Roman" w:cs="Arial"/>
                <w:b/>
                <w:bCs/>
                <w:color w:val="000000"/>
                <w:kern w:val="0"/>
                <w:sz w:val="20"/>
                <w:szCs w:val="15"/>
                <w:lang w:eastAsia="es-AR"/>
                <w14:ligatures w14:val="none"/>
              </w:rPr>
              <w:t>Principales Impulsores Positivos</w:t>
            </w:r>
          </w:p>
        </w:tc>
        <w:tc>
          <w:tcPr>
            <w:tcW w:w="812" w:type="pct"/>
            <w:vAlign w:val="center"/>
            <w:hideMark/>
          </w:tcPr>
          <w:p w14:paraId="0F04C245" w14:textId="77777777" w:rsidR="0021470A" w:rsidRPr="0021470A" w:rsidRDefault="0021470A" w:rsidP="00E50DB4">
            <w:pPr>
              <w:spacing w:after="0"/>
              <w:jc w:val="center"/>
              <w:rPr>
                <w:rFonts w:eastAsia="Times New Roman" w:cs="Arial"/>
                <w:b/>
                <w:bCs/>
                <w:color w:val="000000"/>
                <w:kern w:val="0"/>
                <w:sz w:val="20"/>
                <w:szCs w:val="20"/>
                <w:lang w:eastAsia="es-AR"/>
                <w14:ligatures w14:val="none"/>
              </w:rPr>
            </w:pPr>
            <w:r w:rsidRPr="0021470A">
              <w:rPr>
                <w:rFonts w:eastAsia="Times New Roman" w:cs="Arial"/>
                <w:b/>
                <w:bCs/>
                <w:color w:val="000000"/>
                <w:kern w:val="0"/>
                <w:sz w:val="20"/>
                <w:szCs w:val="15"/>
                <w:lang w:eastAsia="es-AR"/>
                <w14:ligatures w14:val="none"/>
              </w:rPr>
              <w:t>Factores Negativos</w:t>
            </w:r>
          </w:p>
        </w:tc>
      </w:tr>
      <w:tr w:rsidR="0021470A" w:rsidRPr="0021470A" w14:paraId="269F58EA" w14:textId="77777777" w:rsidTr="0021470A">
        <w:trPr>
          <w:trHeight w:val="20"/>
        </w:trPr>
        <w:tc>
          <w:tcPr>
            <w:tcW w:w="984" w:type="pct"/>
            <w:vAlign w:val="center"/>
            <w:hideMark/>
          </w:tcPr>
          <w:p w14:paraId="6C31804D" w14:textId="77777777" w:rsidR="0021470A" w:rsidRPr="0021470A" w:rsidRDefault="0021470A" w:rsidP="00E50DB4">
            <w:pPr>
              <w:spacing w:after="0"/>
              <w:jc w:val="both"/>
              <w:rPr>
                <w:rFonts w:eastAsia="Times New Roman" w:cs="Arial"/>
                <w:color w:val="000000"/>
                <w:kern w:val="0"/>
                <w:sz w:val="20"/>
                <w:szCs w:val="20"/>
                <w:lang w:eastAsia="es-AR"/>
                <w14:ligatures w14:val="none"/>
              </w:rPr>
            </w:pPr>
            <w:r w:rsidRPr="0021470A">
              <w:rPr>
                <w:rFonts w:eastAsia="Times New Roman" w:cs="Arial"/>
                <w:color w:val="000000"/>
                <w:kern w:val="0"/>
                <w:sz w:val="20"/>
                <w:szCs w:val="15"/>
                <w:lang w:eastAsia="es-AR"/>
                <w14:ligatures w14:val="none"/>
              </w:rPr>
              <w:t>Q2 2022 (Abr-Jun)</w:t>
            </w:r>
          </w:p>
        </w:tc>
        <w:tc>
          <w:tcPr>
            <w:tcW w:w="1440" w:type="pct"/>
            <w:vAlign w:val="center"/>
            <w:hideMark/>
          </w:tcPr>
          <w:p w14:paraId="4213F725" w14:textId="77777777" w:rsidR="0021470A" w:rsidRPr="0021470A" w:rsidRDefault="0021470A" w:rsidP="00E50DB4">
            <w:pPr>
              <w:spacing w:after="0"/>
              <w:jc w:val="both"/>
              <w:rPr>
                <w:rFonts w:eastAsia="Times New Roman" w:cs="Arial"/>
                <w:color w:val="000000"/>
                <w:kern w:val="0"/>
                <w:sz w:val="20"/>
                <w:szCs w:val="20"/>
                <w:lang w:eastAsia="es-AR"/>
                <w14:ligatures w14:val="none"/>
              </w:rPr>
            </w:pPr>
            <w:r w:rsidRPr="0021470A">
              <w:rPr>
                <w:rFonts w:eastAsia="Times New Roman" w:cs="Arial"/>
                <w:color w:val="000000"/>
                <w:kern w:val="0"/>
                <w:sz w:val="20"/>
                <w:szCs w:val="15"/>
                <w:lang w:eastAsia="es-AR"/>
                <w14:ligatures w14:val="none"/>
              </w:rPr>
              <w:t>Abr: +2,5%; May: +5,0%; Jun: +1,8% (</w:t>
            </w:r>
            <w:proofErr w:type="spellStart"/>
            <w:r w:rsidRPr="0021470A">
              <w:rPr>
                <w:rFonts w:eastAsia="Times New Roman" w:cs="Arial"/>
                <w:color w:val="000000"/>
                <w:kern w:val="0"/>
                <w:sz w:val="20"/>
                <w:szCs w:val="15"/>
                <w:lang w:eastAsia="es-AR"/>
                <w14:ligatures w14:val="none"/>
              </w:rPr>
              <w:t>acum</w:t>
            </w:r>
            <w:proofErr w:type="spellEnd"/>
            <w:r w:rsidRPr="0021470A">
              <w:rPr>
                <w:rFonts w:eastAsia="Times New Roman" w:cs="Arial"/>
                <w:color w:val="000000"/>
                <w:kern w:val="0"/>
                <w:sz w:val="20"/>
                <w:szCs w:val="15"/>
                <w:lang w:eastAsia="es-AR"/>
                <w14:ligatures w14:val="none"/>
              </w:rPr>
              <w:t>. +3,1%)</w:t>
            </w:r>
          </w:p>
        </w:tc>
        <w:tc>
          <w:tcPr>
            <w:tcW w:w="1011" w:type="pct"/>
            <w:vAlign w:val="center"/>
            <w:hideMark/>
          </w:tcPr>
          <w:p w14:paraId="12FD12F2" w14:textId="77777777" w:rsidR="0021470A" w:rsidRPr="0021470A" w:rsidRDefault="0021470A" w:rsidP="00E50DB4">
            <w:pPr>
              <w:spacing w:after="0"/>
              <w:jc w:val="both"/>
              <w:rPr>
                <w:rFonts w:eastAsia="Times New Roman" w:cs="Arial"/>
                <w:color w:val="000000"/>
                <w:kern w:val="0"/>
                <w:sz w:val="20"/>
                <w:szCs w:val="20"/>
                <w:lang w:eastAsia="es-AR"/>
                <w14:ligatures w14:val="none"/>
              </w:rPr>
            </w:pPr>
            <w:r w:rsidRPr="0021470A">
              <w:rPr>
                <w:rFonts w:eastAsia="Times New Roman" w:cs="Arial"/>
                <w:color w:val="000000"/>
                <w:kern w:val="0"/>
                <w:sz w:val="20"/>
                <w:szCs w:val="15"/>
                <w:lang w:eastAsia="es-AR"/>
                <w14:ligatures w14:val="none"/>
              </w:rPr>
              <w:t>Alimentos y bebidas (+4,5%), automotriz (+10,6% en jun)</w:t>
            </w:r>
          </w:p>
        </w:tc>
        <w:tc>
          <w:tcPr>
            <w:tcW w:w="753" w:type="pct"/>
            <w:vAlign w:val="center"/>
            <w:hideMark/>
          </w:tcPr>
          <w:p w14:paraId="11CC92DA" w14:textId="77777777" w:rsidR="0021470A" w:rsidRPr="0021470A" w:rsidRDefault="0021470A" w:rsidP="00E50DB4">
            <w:pPr>
              <w:spacing w:after="0"/>
              <w:jc w:val="both"/>
              <w:rPr>
                <w:rFonts w:eastAsia="Times New Roman" w:cs="Arial"/>
                <w:color w:val="000000"/>
                <w:kern w:val="0"/>
                <w:sz w:val="20"/>
                <w:szCs w:val="20"/>
                <w:lang w:eastAsia="es-AR"/>
                <w14:ligatures w14:val="none"/>
              </w:rPr>
            </w:pPr>
            <w:r w:rsidRPr="0021470A">
              <w:rPr>
                <w:rFonts w:eastAsia="Times New Roman" w:cs="Arial"/>
                <w:color w:val="000000"/>
                <w:kern w:val="0"/>
                <w:sz w:val="20"/>
                <w:szCs w:val="15"/>
                <w:lang w:eastAsia="es-AR"/>
                <w14:ligatures w14:val="none"/>
              </w:rPr>
              <w:t>Exportaciones siderúrgicas (+6,5% acero crudo)</w:t>
            </w:r>
          </w:p>
        </w:tc>
        <w:tc>
          <w:tcPr>
            <w:tcW w:w="812" w:type="pct"/>
            <w:vAlign w:val="center"/>
            <w:hideMark/>
          </w:tcPr>
          <w:p w14:paraId="702A6CDD" w14:textId="77777777" w:rsidR="0021470A" w:rsidRPr="0021470A" w:rsidRDefault="0021470A" w:rsidP="00E50DB4">
            <w:pPr>
              <w:spacing w:after="0"/>
              <w:jc w:val="both"/>
              <w:rPr>
                <w:rFonts w:eastAsia="Times New Roman" w:cs="Arial"/>
                <w:color w:val="000000"/>
                <w:kern w:val="0"/>
                <w:sz w:val="20"/>
                <w:szCs w:val="20"/>
                <w:lang w:eastAsia="es-AR"/>
                <w14:ligatures w14:val="none"/>
              </w:rPr>
            </w:pPr>
            <w:r w:rsidRPr="0021470A">
              <w:rPr>
                <w:rFonts w:eastAsia="Times New Roman" w:cs="Arial"/>
                <w:color w:val="000000"/>
                <w:kern w:val="0"/>
                <w:sz w:val="20"/>
                <w:szCs w:val="15"/>
                <w:lang w:eastAsia="es-AR"/>
                <w14:ligatures w14:val="none"/>
              </w:rPr>
              <w:t>Inflación en insumos (+20% costos energéticos)</w:t>
            </w:r>
          </w:p>
        </w:tc>
      </w:tr>
      <w:tr w:rsidR="0021470A" w:rsidRPr="0021470A" w14:paraId="01F23107" w14:textId="77777777" w:rsidTr="0021470A">
        <w:trPr>
          <w:trHeight w:val="20"/>
        </w:trPr>
        <w:tc>
          <w:tcPr>
            <w:tcW w:w="984" w:type="pct"/>
            <w:vAlign w:val="center"/>
            <w:hideMark/>
          </w:tcPr>
          <w:p w14:paraId="4A22E1F3" w14:textId="77777777" w:rsidR="0021470A" w:rsidRPr="0021470A" w:rsidRDefault="0021470A" w:rsidP="00E50DB4">
            <w:pPr>
              <w:spacing w:after="0"/>
              <w:jc w:val="both"/>
              <w:rPr>
                <w:rFonts w:eastAsia="Times New Roman" w:cs="Arial"/>
                <w:color w:val="000000"/>
                <w:kern w:val="0"/>
                <w:sz w:val="20"/>
                <w:szCs w:val="20"/>
                <w:lang w:eastAsia="es-AR"/>
                <w14:ligatures w14:val="none"/>
              </w:rPr>
            </w:pPr>
            <w:r w:rsidRPr="0021470A">
              <w:rPr>
                <w:rFonts w:eastAsia="Times New Roman" w:cs="Arial"/>
                <w:color w:val="000000"/>
                <w:kern w:val="0"/>
                <w:sz w:val="20"/>
                <w:szCs w:val="15"/>
                <w:lang w:eastAsia="es-AR"/>
                <w14:ligatures w14:val="none"/>
              </w:rPr>
              <w:t>Q3 2022 (Jul-</w:t>
            </w:r>
            <w:proofErr w:type="spellStart"/>
            <w:r w:rsidRPr="0021470A">
              <w:rPr>
                <w:rFonts w:eastAsia="Times New Roman" w:cs="Arial"/>
                <w:color w:val="000000"/>
                <w:kern w:val="0"/>
                <w:sz w:val="20"/>
                <w:szCs w:val="15"/>
                <w:lang w:eastAsia="es-AR"/>
                <w14:ligatures w14:val="none"/>
              </w:rPr>
              <w:t>Sep</w:t>
            </w:r>
            <w:proofErr w:type="spellEnd"/>
            <w:r w:rsidRPr="0021470A">
              <w:rPr>
                <w:rFonts w:eastAsia="Times New Roman" w:cs="Arial"/>
                <w:color w:val="000000"/>
                <w:kern w:val="0"/>
                <w:sz w:val="20"/>
                <w:szCs w:val="15"/>
                <w:lang w:eastAsia="es-AR"/>
                <w14:ligatures w14:val="none"/>
              </w:rPr>
              <w:t>)</w:t>
            </w:r>
          </w:p>
        </w:tc>
        <w:tc>
          <w:tcPr>
            <w:tcW w:w="1440" w:type="pct"/>
            <w:vAlign w:val="center"/>
            <w:hideMark/>
          </w:tcPr>
          <w:p w14:paraId="3742F20E" w14:textId="77777777" w:rsidR="0021470A" w:rsidRPr="0021470A" w:rsidRDefault="0021470A" w:rsidP="00E50DB4">
            <w:pPr>
              <w:spacing w:after="0"/>
              <w:jc w:val="both"/>
              <w:rPr>
                <w:rFonts w:eastAsia="Times New Roman" w:cs="Arial"/>
                <w:color w:val="000000"/>
                <w:kern w:val="0"/>
                <w:sz w:val="20"/>
                <w:szCs w:val="20"/>
                <w:lang w:val="en-US" w:eastAsia="es-AR"/>
                <w14:ligatures w14:val="none"/>
              </w:rPr>
            </w:pPr>
            <w:r w:rsidRPr="0021470A">
              <w:rPr>
                <w:rFonts w:eastAsia="Times New Roman" w:cs="Arial"/>
                <w:color w:val="000000"/>
                <w:kern w:val="0"/>
                <w:sz w:val="20"/>
                <w:szCs w:val="15"/>
                <w:lang w:val="en-US" w:eastAsia="es-AR"/>
                <w14:ligatures w14:val="none"/>
              </w:rPr>
              <w:t>Jul: +3,2%; Ago: +1,9%; Sep: +0,8% (</w:t>
            </w:r>
            <w:proofErr w:type="spellStart"/>
            <w:r w:rsidRPr="0021470A">
              <w:rPr>
                <w:rFonts w:eastAsia="Times New Roman" w:cs="Arial"/>
                <w:color w:val="000000"/>
                <w:kern w:val="0"/>
                <w:sz w:val="20"/>
                <w:szCs w:val="15"/>
                <w:lang w:val="en-US" w:eastAsia="es-AR"/>
                <w14:ligatures w14:val="none"/>
              </w:rPr>
              <w:t>acum</w:t>
            </w:r>
            <w:proofErr w:type="spellEnd"/>
            <w:r w:rsidRPr="0021470A">
              <w:rPr>
                <w:rFonts w:eastAsia="Times New Roman" w:cs="Arial"/>
                <w:color w:val="000000"/>
                <w:kern w:val="0"/>
                <w:sz w:val="20"/>
                <w:szCs w:val="15"/>
                <w:lang w:val="en-US" w:eastAsia="es-AR"/>
                <w14:ligatures w14:val="none"/>
              </w:rPr>
              <w:t xml:space="preserve">. +1,9% </w:t>
            </w:r>
            <w:proofErr w:type="spellStart"/>
            <w:r w:rsidRPr="0021470A">
              <w:rPr>
                <w:rFonts w:eastAsia="Times New Roman" w:cs="Arial"/>
                <w:color w:val="000000"/>
                <w:kern w:val="0"/>
                <w:sz w:val="20"/>
                <w:szCs w:val="15"/>
                <w:lang w:val="en-US" w:eastAsia="es-AR"/>
                <w14:ligatures w14:val="none"/>
              </w:rPr>
              <w:t>ene-sep</w:t>
            </w:r>
            <w:proofErr w:type="spellEnd"/>
            <w:r w:rsidRPr="0021470A">
              <w:rPr>
                <w:rFonts w:eastAsia="Times New Roman" w:cs="Arial"/>
                <w:color w:val="000000"/>
                <w:kern w:val="0"/>
                <w:sz w:val="20"/>
                <w:szCs w:val="15"/>
                <w:lang w:val="en-US" w:eastAsia="es-AR"/>
                <w14:ligatures w14:val="none"/>
              </w:rPr>
              <w:t>)</w:t>
            </w:r>
          </w:p>
        </w:tc>
        <w:tc>
          <w:tcPr>
            <w:tcW w:w="1011" w:type="pct"/>
            <w:vAlign w:val="center"/>
            <w:hideMark/>
          </w:tcPr>
          <w:p w14:paraId="1E4CE791" w14:textId="77777777" w:rsidR="0021470A" w:rsidRPr="0021470A" w:rsidRDefault="0021470A" w:rsidP="00E50DB4">
            <w:pPr>
              <w:spacing w:after="0"/>
              <w:jc w:val="both"/>
              <w:rPr>
                <w:rFonts w:eastAsia="Times New Roman" w:cs="Arial"/>
                <w:color w:val="000000"/>
                <w:kern w:val="0"/>
                <w:sz w:val="20"/>
                <w:szCs w:val="20"/>
                <w:lang w:eastAsia="es-AR"/>
                <w14:ligatures w14:val="none"/>
              </w:rPr>
            </w:pPr>
            <w:r w:rsidRPr="0021470A">
              <w:rPr>
                <w:rFonts w:eastAsia="Times New Roman" w:cs="Arial"/>
                <w:color w:val="000000"/>
                <w:kern w:val="0"/>
                <w:sz w:val="20"/>
                <w:szCs w:val="15"/>
                <w:lang w:eastAsia="es-AR"/>
                <w14:ligatures w14:val="none"/>
              </w:rPr>
              <w:t>Químicos y plásticos (+10,3% ene, efecto persistente)</w:t>
            </w:r>
          </w:p>
        </w:tc>
        <w:tc>
          <w:tcPr>
            <w:tcW w:w="753" w:type="pct"/>
            <w:vAlign w:val="center"/>
            <w:hideMark/>
          </w:tcPr>
          <w:p w14:paraId="075C6F69" w14:textId="77777777" w:rsidR="0021470A" w:rsidRPr="0021470A" w:rsidRDefault="0021470A" w:rsidP="00E50DB4">
            <w:pPr>
              <w:spacing w:after="0"/>
              <w:jc w:val="both"/>
              <w:rPr>
                <w:rFonts w:eastAsia="Times New Roman" w:cs="Arial"/>
                <w:color w:val="000000"/>
                <w:kern w:val="0"/>
                <w:sz w:val="20"/>
                <w:szCs w:val="20"/>
                <w:lang w:eastAsia="es-AR"/>
                <w14:ligatures w14:val="none"/>
              </w:rPr>
            </w:pPr>
            <w:r w:rsidRPr="0021470A">
              <w:rPr>
                <w:rFonts w:eastAsia="Times New Roman" w:cs="Arial"/>
                <w:color w:val="000000"/>
                <w:kern w:val="0"/>
                <w:sz w:val="20"/>
                <w:szCs w:val="15"/>
                <w:lang w:eastAsia="es-AR"/>
                <w14:ligatures w14:val="none"/>
              </w:rPr>
              <w:t xml:space="preserve">Demanda interna </w:t>
            </w:r>
            <w:proofErr w:type="spellStart"/>
            <w:r w:rsidRPr="0021470A">
              <w:rPr>
                <w:rFonts w:eastAsia="Times New Roman" w:cs="Arial"/>
                <w:color w:val="000000"/>
                <w:kern w:val="0"/>
                <w:sz w:val="20"/>
                <w:szCs w:val="15"/>
                <w:lang w:eastAsia="es-AR"/>
                <w14:ligatures w14:val="none"/>
              </w:rPr>
              <w:t>post-pandemia</w:t>
            </w:r>
            <w:proofErr w:type="spellEnd"/>
          </w:p>
        </w:tc>
        <w:tc>
          <w:tcPr>
            <w:tcW w:w="812" w:type="pct"/>
            <w:vAlign w:val="center"/>
            <w:hideMark/>
          </w:tcPr>
          <w:p w14:paraId="002AB86F" w14:textId="77777777" w:rsidR="0021470A" w:rsidRPr="0021470A" w:rsidRDefault="0021470A" w:rsidP="00E50DB4">
            <w:pPr>
              <w:spacing w:after="0"/>
              <w:jc w:val="both"/>
              <w:rPr>
                <w:rFonts w:eastAsia="Times New Roman" w:cs="Arial"/>
                <w:color w:val="000000"/>
                <w:kern w:val="0"/>
                <w:sz w:val="20"/>
                <w:szCs w:val="20"/>
                <w:lang w:eastAsia="es-AR"/>
                <w14:ligatures w14:val="none"/>
              </w:rPr>
            </w:pPr>
            <w:r w:rsidRPr="0021470A">
              <w:rPr>
                <w:rFonts w:eastAsia="Times New Roman" w:cs="Arial"/>
                <w:color w:val="000000"/>
                <w:kern w:val="0"/>
                <w:sz w:val="20"/>
                <w:szCs w:val="15"/>
                <w:lang w:eastAsia="es-AR"/>
                <w14:ligatures w14:val="none"/>
              </w:rPr>
              <w:t>Desaceleración exportadora por guerra Ucrania</w:t>
            </w:r>
          </w:p>
        </w:tc>
      </w:tr>
      <w:tr w:rsidR="0021470A" w:rsidRPr="0021470A" w14:paraId="27BCD761" w14:textId="77777777" w:rsidTr="0021470A">
        <w:trPr>
          <w:trHeight w:val="20"/>
        </w:trPr>
        <w:tc>
          <w:tcPr>
            <w:tcW w:w="984" w:type="pct"/>
            <w:vAlign w:val="center"/>
            <w:hideMark/>
          </w:tcPr>
          <w:p w14:paraId="434F7D96" w14:textId="77777777" w:rsidR="0021470A" w:rsidRPr="0021470A" w:rsidRDefault="0021470A" w:rsidP="00E50DB4">
            <w:pPr>
              <w:spacing w:after="0"/>
              <w:jc w:val="both"/>
              <w:rPr>
                <w:rFonts w:eastAsia="Times New Roman" w:cs="Arial"/>
                <w:color w:val="000000"/>
                <w:kern w:val="0"/>
                <w:sz w:val="20"/>
                <w:szCs w:val="20"/>
                <w:lang w:eastAsia="es-AR"/>
                <w14:ligatures w14:val="none"/>
              </w:rPr>
            </w:pPr>
            <w:r w:rsidRPr="0021470A">
              <w:rPr>
                <w:rFonts w:eastAsia="Times New Roman" w:cs="Arial"/>
                <w:color w:val="000000"/>
                <w:kern w:val="0"/>
                <w:sz w:val="20"/>
                <w:szCs w:val="15"/>
                <w:lang w:eastAsia="es-AR"/>
                <w14:ligatures w14:val="none"/>
              </w:rPr>
              <w:t>Q4 2022 (Oct-Dic)</w:t>
            </w:r>
          </w:p>
        </w:tc>
        <w:tc>
          <w:tcPr>
            <w:tcW w:w="1440" w:type="pct"/>
            <w:vAlign w:val="center"/>
            <w:hideMark/>
          </w:tcPr>
          <w:p w14:paraId="5B91B381" w14:textId="77777777" w:rsidR="0021470A" w:rsidRPr="0021470A" w:rsidRDefault="0021470A" w:rsidP="00E50DB4">
            <w:pPr>
              <w:spacing w:after="0"/>
              <w:jc w:val="both"/>
              <w:rPr>
                <w:rFonts w:eastAsia="Times New Roman" w:cs="Arial"/>
                <w:color w:val="000000"/>
                <w:kern w:val="0"/>
                <w:sz w:val="20"/>
                <w:szCs w:val="20"/>
                <w:lang w:val="en-US" w:eastAsia="es-AR"/>
                <w14:ligatures w14:val="none"/>
              </w:rPr>
            </w:pPr>
            <w:r w:rsidRPr="0021470A">
              <w:rPr>
                <w:rFonts w:eastAsia="Times New Roman" w:cs="Arial"/>
                <w:color w:val="000000"/>
                <w:kern w:val="0"/>
                <w:sz w:val="20"/>
                <w:szCs w:val="15"/>
                <w:lang w:val="en-US" w:eastAsia="es-AR"/>
                <w14:ligatures w14:val="none"/>
              </w:rPr>
              <w:t xml:space="preserve">Oct: -0,5%; Nov: +0,2%; </w:t>
            </w:r>
            <w:proofErr w:type="spellStart"/>
            <w:r w:rsidRPr="0021470A">
              <w:rPr>
                <w:rFonts w:eastAsia="Times New Roman" w:cs="Arial"/>
                <w:color w:val="000000"/>
                <w:kern w:val="0"/>
                <w:sz w:val="20"/>
                <w:szCs w:val="15"/>
                <w:lang w:val="en-US" w:eastAsia="es-AR"/>
                <w14:ligatures w14:val="none"/>
              </w:rPr>
              <w:t>Dic</w:t>
            </w:r>
            <w:proofErr w:type="spellEnd"/>
            <w:r w:rsidRPr="0021470A">
              <w:rPr>
                <w:rFonts w:eastAsia="Times New Roman" w:cs="Arial"/>
                <w:color w:val="000000"/>
                <w:kern w:val="0"/>
                <w:sz w:val="20"/>
                <w:szCs w:val="15"/>
                <w:lang w:val="en-US" w:eastAsia="es-AR"/>
                <w14:ligatures w14:val="none"/>
              </w:rPr>
              <w:t>: +1,1% (</w:t>
            </w:r>
            <w:proofErr w:type="spellStart"/>
            <w:r w:rsidRPr="0021470A">
              <w:rPr>
                <w:rFonts w:eastAsia="Times New Roman" w:cs="Arial"/>
                <w:color w:val="000000"/>
                <w:kern w:val="0"/>
                <w:sz w:val="20"/>
                <w:szCs w:val="15"/>
                <w:lang w:val="en-US" w:eastAsia="es-AR"/>
                <w14:ligatures w14:val="none"/>
              </w:rPr>
              <w:t>acum</w:t>
            </w:r>
            <w:proofErr w:type="spellEnd"/>
            <w:r w:rsidRPr="0021470A">
              <w:rPr>
                <w:rFonts w:eastAsia="Times New Roman" w:cs="Arial"/>
                <w:color w:val="000000"/>
                <w:kern w:val="0"/>
                <w:sz w:val="20"/>
                <w:szCs w:val="15"/>
                <w:lang w:val="en-US" w:eastAsia="es-AR"/>
                <w14:ligatures w14:val="none"/>
              </w:rPr>
              <w:t xml:space="preserve">. +1,5% </w:t>
            </w:r>
            <w:proofErr w:type="spellStart"/>
            <w:r w:rsidRPr="0021470A">
              <w:rPr>
                <w:rFonts w:eastAsia="Times New Roman" w:cs="Arial"/>
                <w:color w:val="000000"/>
                <w:kern w:val="0"/>
                <w:sz w:val="20"/>
                <w:szCs w:val="15"/>
                <w:lang w:val="en-US" w:eastAsia="es-AR"/>
                <w14:ligatures w14:val="none"/>
              </w:rPr>
              <w:t>ene-dic</w:t>
            </w:r>
            <w:proofErr w:type="spellEnd"/>
            <w:r w:rsidRPr="0021470A">
              <w:rPr>
                <w:rFonts w:eastAsia="Times New Roman" w:cs="Arial"/>
                <w:color w:val="000000"/>
                <w:kern w:val="0"/>
                <w:sz w:val="20"/>
                <w:szCs w:val="15"/>
                <w:lang w:val="en-US" w:eastAsia="es-AR"/>
                <w14:ligatures w14:val="none"/>
              </w:rPr>
              <w:t>)</w:t>
            </w:r>
          </w:p>
        </w:tc>
        <w:tc>
          <w:tcPr>
            <w:tcW w:w="1011" w:type="pct"/>
            <w:vAlign w:val="center"/>
            <w:hideMark/>
          </w:tcPr>
          <w:p w14:paraId="7FA03579" w14:textId="77777777" w:rsidR="0021470A" w:rsidRPr="0021470A" w:rsidRDefault="0021470A" w:rsidP="00E50DB4">
            <w:pPr>
              <w:spacing w:after="0"/>
              <w:jc w:val="both"/>
              <w:rPr>
                <w:rFonts w:eastAsia="Times New Roman" w:cs="Arial"/>
                <w:color w:val="000000"/>
                <w:kern w:val="0"/>
                <w:sz w:val="20"/>
                <w:szCs w:val="20"/>
                <w:lang w:eastAsia="es-AR"/>
                <w14:ligatures w14:val="none"/>
              </w:rPr>
            </w:pPr>
            <w:r w:rsidRPr="0021470A">
              <w:rPr>
                <w:rFonts w:eastAsia="Times New Roman" w:cs="Arial"/>
                <w:color w:val="000000"/>
                <w:kern w:val="0"/>
                <w:sz w:val="20"/>
                <w:szCs w:val="15"/>
                <w:lang w:eastAsia="es-AR"/>
                <w14:ligatures w14:val="none"/>
              </w:rPr>
              <w:t xml:space="preserve">Vehículos (+21,4% </w:t>
            </w:r>
            <w:proofErr w:type="spellStart"/>
            <w:r w:rsidRPr="0021470A">
              <w:rPr>
                <w:rFonts w:eastAsia="Times New Roman" w:cs="Arial"/>
                <w:color w:val="000000"/>
                <w:kern w:val="0"/>
                <w:sz w:val="20"/>
                <w:szCs w:val="15"/>
                <w:lang w:eastAsia="es-AR"/>
                <w14:ligatures w14:val="none"/>
              </w:rPr>
              <w:t>acum</w:t>
            </w:r>
            <w:proofErr w:type="spellEnd"/>
            <w:r w:rsidRPr="0021470A">
              <w:rPr>
                <w:rFonts w:eastAsia="Times New Roman" w:cs="Arial"/>
                <w:color w:val="000000"/>
                <w:kern w:val="0"/>
                <w:sz w:val="20"/>
                <w:szCs w:val="15"/>
                <w:lang w:eastAsia="es-AR"/>
                <w14:ligatures w14:val="none"/>
              </w:rPr>
              <w:t>. semestre)</w:t>
            </w:r>
          </w:p>
        </w:tc>
        <w:tc>
          <w:tcPr>
            <w:tcW w:w="753" w:type="pct"/>
            <w:vAlign w:val="center"/>
            <w:hideMark/>
          </w:tcPr>
          <w:p w14:paraId="40306C73" w14:textId="77777777" w:rsidR="0021470A" w:rsidRPr="0021470A" w:rsidRDefault="0021470A" w:rsidP="00E50DB4">
            <w:pPr>
              <w:spacing w:after="0"/>
              <w:jc w:val="both"/>
              <w:rPr>
                <w:rFonts w:eastAsia="Times New Roman" w:cs="Arial"/>
                <w:color w:val="000000"/>
                <w:kern w:val="0"/>
                <w:sz w:val="20"/>
                <w:szCs w:val="20"/>
                <w:lang w:eastAsia="es-AR"/>
                <w14:ligatures w14:val="none"/>
              </w:rPr>
            </w:pPr>
            <w:r w:rsidRPr="0021470A">
              <w:rPr>
                <w:rFonts w:eastAsia="Times New Roman" w:cs="Arial"/>
                <w:color w:val="000000"/>
                <w:kern w:val="0"/>
                <w:sz w:val="20"/>
                <w:szCs w:val="15"/>
                <w:lang w:eastAsia="es-AR"/>
                <w14:ligatures w14:val="none"/>
              </w:rPr>
              <w:t>Inversión fija (+10,9% anual 2022)</w:t>
            </w:r>
          </w:p>
        </w:tc>
        <w:tc>
          <w:tcPr>
            <w:tcW w:w="812" w:type="pct"/>
            <w:vAlign w:val="center"/>
            <w:hideMark/>
          </w:tcPr>
          <w:p w14:paraId="1CBD5D9B" w14:textId="77777777" w:rsidR="0021470A" w:rsidRPr="0021470A" w:rsidRDefault="0021470A" w:rsidP="00E50DB4">
            <w:pPr>
              <w:spacing w:after="0"/>
              <w:jc w:val="both"/>
              <w:rPr>
                <w:rFonts w:eastAsia="Times New Roman" w:cs="Arial"/>
                <w:color w:val="000000"/>
                <w:kern w:val="0"/>
                <w:sz w:val="20"/>
                <w:szCs w:val="20"/>
                <w:lang w:eastAsia="es-AR"/>
                <w14:ligatures w14:val="none"/>
              </w:rPr>
            </w:pPr>
            <w:r w:rsidRPr="0021470A">
              <w:rPr>
                <w:rFonts w:eastAsia="Times New Roman" w:cs="Arial"/>
                <w:color w:val="000000"/>
                <w:kern w:val="0"/>
                <w:sz w:val="20"/>
                <w:szCs w:val="15"/>
                <w:lang w:eastAsia="es-AR"/>
                <w14:ligatures w14:val="none"/>
              </w:rPr>
              <w:t>Sequía inicial (- impacto en agroindustria)</w:t>
            </w:r>
          </w:p>
        </w:tc>
      </w:tr>
      <w:tr w:rsidR="0021470A" w:rsidRPr="0021470A" w14:paraId="2873B511" w14:textId="77777777" w:rsidTr="0021470A">
        <w:trPr>
          <w:trHeight w:val="20"/>
        </w:trPr>
        <w:tc>
          <w:tcPr>
            <w:tcW w:w="984" w:type="pct"/>
            <w:vAlign w:val="center"/>
            <w:hideMark/>
          </w:tcPr>
          <w:p w14:paraId="129F7670" w14:textId="77777777" w:rsidR="0021470A" w:rsidRPr="0021470A" w:rsidRDefault="0021470A" w:rsidP="00E50DB4">
            <w:pPr>
              <w:spacing w:after="0"/>
              <w:jc w:val="both"/>
              <w:rPr>
                <w:rFonts w:eastAsia="Times New Roman" w:cs="Arial"/>
                <w:color w:val="000000"/>
                <w:kern w:val="0"/>
                <w:sz w:val="20"/>
                <w:szCs w:val="20"/>
                <w:lang w:eastAsia="es-AR"/>
                <w14:ligatures w14:val="none"/>
              </w:rPr>
            </w:pPr>
            <w:r w:rsidRPr="0021470A">
              <w:rPr>
                <w:rFonts w:eastAsia="Times New Roman" w:cs="Arial"/>
                <w:color w:val="000000"/>
                <w:kern w:val="0"/>
                <w:sz w:val="20"/>
                <w:szCs w:val="15"/>
                <w:lang w:eastAsia="es-AR"/>
                <w14:ligatures w14:val="none"/>
              </w:rPr>
              <w:t>Q1 2023 (Ene-Mar)</w:t>
            </w:r>
          </w:p>
        </w:tc>
        <w:tc>
          <w:tcPr>
            <w:tcW w:w="1440" w:type="pct"/>
            <w:vAlign w:val="center"/>
            <w:hideMark/>
          </w:tcPr>
          <w:p w14:paraId="0A8F6422" w14:textId="77777777" w:rsidR="0021470A" w:rsidRPr="0021470A" w:rsidRDefault="0021470A" w:rsidP="00E50DB4">
            <w:pPr>
              <w:spacing w:after="0"/>
              <w:jc w:val="both"/>
              <w:rPr>
                <w:rFonts w:eastAsia="Times New Roman" w:cs="Arial"/>
                <w:color w:val="000000"/>
                <w:kern w:val="0"/>
                <w:sz w:val="20"/>
                <w:szCs w:val="20"/>
                <w:lang w:eastAsia="es-AR"/>
                <w14:ligatures w14:val="none"/>
              </w:rPr>
            </w:pPr>
            <w:r w:rsidRPr="0021470A">
              <w:rPr>
                <w:rFonts w:eastAsia="Times New Roman" w:cs="Arial"/>
                <w:color w:val="000000"/>
                <w:kern w:val="0"/>
                <w:sz w:val="20"/>
                <w:szCs w:val="15"/>
                <w:lang w:eastAsia="es-AR"/>
                <w14:ligatures w14:val="none"/>
              </w:rPr>
              <w:t>Ene: +6,3%; Feb: +2,0%; Mar: +1,7% (</w:t>
            </w:r>
            <w:proofErr w:type="spellStart"/>
            <w:r w:rsidRPr="0021470A">
              <w:rPr>
                <w:rFonts w:eastAsia="Times New Roman" w:cs="Arial"/>
                <w:color w:val="000000"/>
                <w:kern w:val="0"/>
                <w:sz w:val="20"/>
                <w:szCs w:val="15"/>
                <w:lang w:eastAsia="es-AR"/>
                <w14:ligatures w14:val="none"/>
              </w:rPr>
              <w:t>acum</w:t>
            </w:r>
            <w:proofErr w:type="spellEnd"/>
            <w:r w:rsidRPr="0021470A">
              <w:rPr>
                <w:rFonts w:eastAsia="Times New Roman" w:cs="Arial"/>
                <w:color w:val="000000"/>
                <w:kern w:val="0"/>
                <w:sz w:val="20"/>
                <w:szCs w:val="15"/>
                <w:lang w:eastAsia="es-AR"/>
                <w14:ligatures w14:val="none"/>
              </w:rPr>
              <w:t>. +2,5% ene-abr)</w:t>
            </w:r>
          </w:p>
        </w:tc>
        <w:tc>
          <w:tcPr>
            <w:tcW w:w="1011" w:type="pct"/>
            <w:vAlign w:val="center"/>
            <w:hideMark/>
          </w:tcPr>
          <w:p w14:paraId="3A011DBB" w14:textId="77777777" w:rsidR="0021470A" w:rsidRPr="0021470A" w:rsidRDefault="0021470A" w:rsidP="00E50DB4">
            <w:pPr>
              <w:spacing w:after="0"/>
              <w:jc w:val="both"/>
              <w:rPr>
                <w:rFonts w:eastAsia="Times New Roman" w:cs="Arial"/>
                <w:color w:val="000000"/>
                <w:kern w:val="0"/>
                <w:sz w:val="20"/>
                <w:szCs w:val="20"/>
                <w:lang w:eastAsia="es-AR"/>
                <w14:ligatures w14:val="none"/>
              </w:rPr>
            </w:pPr>
            <w:r w:rsidRPr="0021470A">
              <w:rPr>
                <w:rFonts w:eastAsia="Times New Roman" w:cs="Arial"/>
                <w:color w:val="000000"/>
                <w:kern w:val="0"/>
                <w:sz w:val="20"/>
                <w:szCs w:val="15"/>
                <w:lang w:eastAsia="es-AR"/>
                <w14:ligatures w14:val="none"/>
              </w:rPr>
              <w:t>Automotriz (+24% ene-</w:t>
            </w:r>
            <w:proofErr w:type="spellStart"/>
            <w:r w:rsidRPr="0021470A">
              <w:rPr>
                <w:rFonts w:eastAsia="Times New Roman" w:cs="Arial"/>
                <w:color w:val="000000"/>
                <w:kern w:val="0"/>
                <w:sz w:val="20"/>
                <w:szCs w:val="15"/>
                <w:lang w:eastAsia="es-AR"/>
                <w14:ligatures w14:val="none"/>
              </w:rPr>
              <w:t>may</w:t>
            </w:r>
            <w:proofErr w:type="spellEnd"/>
            <w:r w:rsidRPr="0021470A">
              <w:rPr>
                <w:rFonts w:eastAsia="Times New Roman" w:cs="Arial"/>
                <w:color w:val="000000"/>
                <w:kern w:val="0"/>
                <w:sz w:val="20"/>
                <w:szCs w:val="15"/>
                <w:lang w:eastAsia="es-AR"/>
                <w14:ligatures w14:val="none"/>
              </w:rPr>
              <w:t>), siderurgia (+9,6% planos fríos)</w:t>
            </w:r>
          </w:p>
        </w:tc>
        <w:tc>
          <w:tcPr>
            <w:tcW w:w="753" w:type="pct"/>
            <w:vAlign w:val="center"/>
            <w:hideMark/>
          </w:tcPr>
          <w:p w14:paraId="57DE5D4F" w14:textId="77777777" w:rsidR="0021470A" w:rsidRPr="0021470A" w:rsidRDefault="0021470A" w:rsidP="00E50DB4">
            <w:pPr>
              <w:spacing w:after="0"/>
              <w:jc w:val="both"/>
              <w:rPr>
                <w:rFonts w:eastAsia="Times New Roman" w:cs="Arial"/>
                <w:color w:val="000000"/>
                <w:kern w:val="0"/>
                <w:sz w:val="20"/>
                <w:szCs w:val="20"/>
                <w:lang w:eastAsia="es-AR"/>
                <w14:ligatures w14:val="none"/>
              </w:rPr>
            </w:pPr>
            <w:r w:rsidRPr="0021470A">
              <w:rPr>
                <w:rFonts w:eastAsia="Times New Roman" w:cs="Arial"/>
                <w:color w:val="000000"/>
                <w:kern w:val="0"/>
                <w:sz w:val="20"/>
                <w:szCs w:val="15"/>
                <w:lang w:eastAsia="es-AR"/>
                <w14:ligatures w14:val="none"/>
              </w:rPr>
              <w:t>Empleo récord (+3,4% abr vs. 2022)</w:t>
            </w:r>
          </w:p>
        </w:tc>
        <w:tc>
          <w:tcPr>
            <w:tcW w:w="812" w:type="pct"/>
            <w:vAlign w:val="center"/>
            <w:hideMark/>
          </w:tcPr>
          <w:p w14:paraId="08AE7964" w14:textId="77777777" w:rsidR="0021470A" w:rsidRPr="0021470A" w:rsidRDefault="0021470A" w:rsidP="00E50DB4">
            <w:pPr>
              <w:spacing w:after="0"/>
              <w:jc w:val="both"/>
              <w:rPr>
                <w:rFonts w:eastAsia="Times New Roman" w:cs="Arial"/>
                <w:color w:val="000000"/>
                <w:kern w:val="0"/>
                <w:sz w:val="20"/>
                <w:szCs w:val="20"/>
                <w:lang w:eastAsia="es-AR"/>
                <w14:ligatures w14:val="none"/>
              </w:rPr>
            </w:pPr>
            <w:r w:rsidRPr="0021470A">
              <w:rPr>
                <w:rFonts w:eastAsia="Times New Roman" w:cs="Arial"/>
                <w:color w:val="000000"/>
                <w:kern w:val="0"/>
                <w:sz w:val="20"/>
                <w:szCs w:val="15"/>
                <w:lang w:eastAsia="es-AR"/>
                <w14:ligatures w14:val="none"/>
              </w:rPr>
              <w:t>Sequía extrema (-2,5% PIB total, arrastre industrial)</w:t>
            </w:r>
          </w:p>
        </w:tc>
      </w:tr>
    </w:tbl>
    <w:p w14:paraId="5A573683" w14:textId="77777777" w:rsidR="00E97AD5" w:rsidRDefault="00E97AD5" w:rsidP="00E50DB4">
      <w:pPr>
        <w:spacing w:after="0"/>
        <w:jc w:val="both"/>
      </w:pPr>
    </w:p>
    <w:p w14:paraId="16EF02E5" w14:textId="3A2D65FF" w:rsidR="00E97AD5" w:rsidRDefault="00E97AD5" w:rsidP="00E50DB4">
      <w:pPr>
        <w:spacing w:after="0"/>
        <w:jc w:val="both"/>
      </w:pPr>
      <w:r>
        <w:t>Algunos indicadores de la evolución</w:t>
      </w:r>
      <w:r w:rsidR="00E50DB4">
        <w:t xml:space="preserve"> en el período</w:t>
      </w:r>
      <w:r>
        <w:t xml:space="preserve"> de sectores seleccionados</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43"/>
        <w:gridCol w:w="2193"/>
        <w:gridCol w:w="4822"/>
      </w:tblGrid>
      <w:tr w:rsidR="00E97AD5" w:rsidRPr="00E97AD5" w14:paraId="03E6B3A4" w14:textId="77777777" w:rsidTr="00E50DB4">
        <w:trPr>
          <w:trHeight w:val="20"/>
        </w:trPr>
        <w:tc>
          <w:tcPr>
            <w:tcW w:w="2343" w:type="dxa"/>
            <w:noWrap/>
            <w:vAlign w:val="center"/>
            <w:hideMark/>
          </w:tcPr>
          <w:p w14:paraId="02058F8C" w14:textId="77777777" w:rsidR="00E97AD5" w:rsidRPr="00E97AD5" w:rsidRDefault="00E97AD5" w:rsidP="00E50DB4">
            <w:pPr>
              <w:widowControl w:val="0"/>
              <w:autoSpaceDE w:val="0"/>
              <w:autoSpaceDN w:val="0"/>
              <w:spacing w:after="0"/>
              <w:jc w:val="center"/>
              <w:rPr>
                <w:rFonts w:eastAsia="Arial" w:cs="Arial"/>
                <w:b/>
                <w:bCs/>
                <w:kern w:val="0"/>
                <w:sz w:val="20"/>
                <w:szCs w:val="15"/>
                <w14:ligatures w14:val="none"/>
              </w:rPr>
            </w:pPr>
            <w:r w:rsidRPr="00E97AD5">
              <w:rPr>
                <w:rFonts w:eastAsia="Arial" w:cs="Arial"/>
                <w:b/>
                <w:bCs/>
                <w:kern w:val="0"/>
                <w:sz w:val="20"/>
                <w:szCs w:val="15"/>
                <w14:ligatures w14:val="none"/>
              </w:rPr>
              <w:t>Sector</w:t>
            </w:r>
          </w:p>
        </w:tc>
        <w:tc>
          <w:tcPr>
            <w:tcW w:w="2193" w:type="dxa"/>
            <w:noWrap/>
            <w:vAlign w:val="center"/>
            <w:hideMark/>
          </w:tcPr>
          <w:p w14:paraId="2A60A1DC" w14:textId="77777777" w:rsidR="00E97AD5" w:rsidRPr="00E97AD5" w:rsidRDefault="00E97AD5" w:rsidP="00E50DB4">
            <w:pPr>
              <w:widowControl w:val="0"/>
              <w:autoSpaceDE w:val="0"/>
              <w:autoSpaceDN w:val="0"/>
              <w:spacing w:after="0"/>
              <w:jc w:val="center"/>
              <w:rPr>
                <w:rFonts w:eastAsia="Arial" w:cs="Arial"/>
                <w:b/>
                <w:bCs/>
                <w:kern w:val="0"/>
                <w:sz w:val="20"/>
                <w:szCs w:val="15"/>
                <w14:ligatures w14:val="none"/>
              </w:rPr>
            </w:pPr>
            <w:r w:rsidRPr="00E97AD5">
              <w:rPr>
                <w:rFonts w:eastAsia="Arial" w:cs="Arial"/>
                <w:b/>
                <w:bCs/>
                <w:kern w:val="0"/>
                <w:sz w:val="20"/>
                <w:szCs w:val="15"/>
                <w14:ligatures w14:val="none"/>
              </w:rPr>
              <w:t>Crecimiento Acumulado (Abr 2022-Mar 2023)</w:t>
            </w:r>
          </w:p>
        </w:tc>
        <w:tc>
          <w:tcPr>
            <w:tcW w:w="4822" w:type="dxa"/>
            <w:noWrap/>
            <w:vAlign w:val="center"/>
            <w:hideMark/>
          </w:tcPr>
          <w:p w14:paraId="582E5103" w14:textId="77777777" w:rsidR="00E97AD5" w:rsidRPr="00E97AD5" w:rsidRDefault="00E97AD5" w:rsidP="00E50DB4">
            <w:pPr>
              <w:widowControl w:val="0"/>
              <w:autoSpaceDE w:val="0"/>
              <w:autoSpaceDN w:val="0"/>
              <w:spacing w:after="0"/>
              <w:jc w:val="center"/>
              <w:rPr>
                <w:rFonts w:eastAsia="Arial" w:cs="Arial"/>
                <w:b/>
                <w:bCs/>
                <w:kern w:val="0"/>
                <w:sz w:val="20"/>
                <w:szCs w:val="15"/>
                <w14:ligatures w14:val="none"/>
              </w:rPr>
            </w:pPr>
            <w:r w:rsidRPr="00E97AD5">
              <w:rPr>
                <w:rFonts w:eastAsia="Arial" w:cs="Arial"/>
                <w:b/>
                <w:bCs/>
                <w:kern w:val="0"/>
                <w:sz w:val="20"/>
                <w:szCs w:val="15"/>
                <w14:ligatures w14:val="none"/>
              </w:rPr>
              <w:t>Notas Relevantes</w:t>
            </w:r>
          </w:p>
        </w:tc>
      </w:tr>
      <w:tr w:rsidR="00E97AD5" w:rsidRPr="00E97AD5" w14:paraId="7C7A3101" w14:textId="77777777" w:rsidTr="00E50DB4">
        <w:trPr>
          <w:trHeight w:val="20"/>
        </w:trPr>
        <w:tc>
          <w:tcPr>
            <w:tcW w:w="2343" w:type="dxa"/>
            <w:vAlign w:val="center"/>
            <w:hideMark/>
          </w:tcPr>
          <w:p w14:paraId="44863BFF" w14:textId="77777777" w:rsidR="00E97AD5" w:rsidRPr="00E97AD5" w:rsidRDefault="00E97AD5" w:rsidP="00E50DB4">
            <w:pPr>
              <w:widowControl w:val="0"/>
              <w:autoSpaceDE w:val="0"/>
              <w:autoSpaceDN w:val="0"/>
              <w:spacing w:after="0"/>
              <w:jc w:val="both"/>
              <w:rPr>
                <w:rFonts w:eastAsia="Arial" w:cs="Arial"/>
                <w:kern w:val="0"/>
                <w:sz w:val="20"/>
                <w:szCs w:val="15"/>
                <w14:ligatures w14:val="none"/>
              </w:rPr>
            </w:pPr>
            <w:r w:rsidRPr="00E97AD5">
              <w:rPr>
                <w:rFonts w:eastAsia="Arial" w:cs="Arial"/>
                <w:kern w:val="0"/>
                <w:sz w:val="20"/>
                <w:szCs w:val="15"/>
                <w14:ligatures w14:val="none"/>
              </w:rPr>
              <w:t>Alimentos y Bebidas</w:t>
            </w:r>
          </w:p>
        </w:tc>
        <w:tc>
          <w:tcPr>
            <w:tcW w:w="2193" w:type="dxa"/>
            <w:vAlign w:val="center"/>
            <w:hideMark/>
          </w:tcPr>
          <w:p w14:paraId="6CB87FEC" w14:textId="77777777" w:rsidR="00E97AD5" w:rsidRPr="00E97AD5" w:rsidRDefault="00E97AD5" w:rsidP="00E50DB4">
            <w:pPr>
              <w:widowControl w:val="0"/>
              <w:autoSpaceDE w:val="0"/>
              <w:autoSpaceDN w:val="0"/>
              <w:spacing w:after="0"/>
              <w:jc w:val="center"/>
              <w:rPr>
                <w:rFonts w:eastAsia="Arial" w:cs="Arial"/>
                <w:kern w:val="0"/>
                <w:sz w:val="20"/>
                <w:szCs w:val="15"/>
                <w14:ligatures w14:val="none"/>
              </w:rPr>
            </w:pPr>
            <w:r w:rsidRPr="00E97AD5">
              <w:rPr>
                <w:rFonts w:eastAsia="Arial" w:cs="Arial"/>
                <w:kern w:val="0"/>
                <w:sz w:val="20"/>
                <w:szCs w:val="15"/>
                <w14:ligatures w14:val="none"/>
              </w:rPr>
              <w:t>+4,0%</w:t>
            </w:r>
          </w:p>
        </w:tc>
        <w:tc>
          <w:tcPr>
            <w:tcW w:w="4822" w:type="dxa"/>
            <w:vAlign w:val="center"/>
            <w:hideMark/>
          </w:tcPr>
          <w:p w14:paraId="7D107C36" w14:textId="77777777" w:rsidR="00E97AD5" w:rsidRPr="00E97AD5" w:rsidRDefault="00E97AD5" w:rsidP="00E50DB4">
            <w:pPr>
              <w:widowControl w:val="0"/>
              <w:autoSpaceDE w:val="0"/>
              <w:autoSpaceDN w:val="0"/>
              <w:spacing w:after="0"/>
              <w:jc w:val="both"/>
              <w:rPr>
                <w:rFonts w:eastAsia="Arial" w:cs="Arial"/>
                <w:kern w:val="0"/>
                <w:sz w:val="20"/>
                <w:szCs w:val="15"/>
                <w14:ligatures w14:val="none"/>
              </w:rPr>
            </w:pPr>
            <w:r w:rsidRPr="00E97AD5">
              <w:rPr>
                <w:rFonts w:eastAsia="Arial" w:cs="Arial"/>
                <w:kern w:val="0"/>
                <w:sz w:val="20"/>
                <w:szCs w:val="15"/>
                <w14:ligatures w14:val="none"/>
              </w:rPr>
              <w:t>Mayor incidencia positiva; +8,4% en lácteos (oct 2023 efecto, pero base 2022 fuerte). Resiliente ante sequía.</w:t>
            </w:r>
          </w:p>
        </w:tc>
      </w:tr>
      <w:tr w:rsidR="00E97AD5" w:rsidRPr="00E97AD5" w14:paraId="77DEB60C" w14:textId="77777777" w:rsidTr="00E50DB4">
        <w:trPr>
          <w:trHeight w:val="20"/>
        </w:trPr>
        <w:tc>
          <w:tcPr>
            <w:tcW w:w="2343" w:type="dxa"/>
            <w:vAlign w:val="center"/>
            <w:hideMark/>
          </w:tcPr>
          <w:p w14:paraId="76B6EA45" w14:textId="77777777" w:rsidR="00E97AD5" w:rsidRPr="00E97AD5" w:rsidRDefault="00E97AD5" w:rsidP="00E50DB4">
            <w:pPr>
              <w:widowControl w:val="0"/>
              <w:autoSpaceDE w:val="0"/>
              <w:autoSpaceDN w:val="0"/>
              <w:spacing w:after="0"/>
              <w:jc w:val="both"/>
              <w:rPr>
                <w:rFonts w:eastAsia="Arial" w:cs="Arial"/>
                <w:kern w:val="0"/>
                <w:sz w:val="20"/>
                <w:szCs w:val="15"/>
                <w14:ligatures w14:val="none"/>
              </w:rPr>
            </w:pPr>
            <w:r w:rsidRPr="00E97AD5">
              <w:rPr>
                <w:rFonts w:eastAsia="Arial" w:cs="Arial"/>
                <w:kern w:val="0"/>
                <w:sz w:val="20"/>
                <w:szCs w:val="15"/>
                <w14:ligatures w14:val="none"/>
              </w:rPr>
              <w:t>Automotriz</w:t>
            </w:r>
          </w:p>
        </w:tc>
        <w:tc>
          <w:tcPr>
            <w:tcW w:w="2193" w:type="dxa"/>
            <w:vAlign w:val="center"/>
            <w:hideMark/>
          </w:tcPr>
          <w:p w14:paraId="62466375" w14:textId="77777777" w:rsidR="00E97AD5" w:rsidRPr="00E97AD5" w:rsidRDefault="00E97AD5" w:rsidP="00E50DB4">
            <w:pPr>
              <w:widowControl w:val="0"/>
              <w:autoSpaceDE w:val="0"/>
              <w:autoSpaceDN w:val="0"/>
              <w:spacing w:after="0"/>
              <w:jc w:val="center"/>
              <w:rPr>
                <w:rFonts w:eastAsia="Arial" w:cs="Arial"/>
                <w:kern w:val="0"/>
                <w:sz w:val="20"/>
                <w:szCs w:val="15"/>
                <w14:ligatures w14:val="none"/>
              </w:rPr>
            </w:pPr>
            <w:r w:rsidRPr="00E97AD5">
              <w:rPr>
                <w:rFonts w:eastAsia="Arial" w:cs="Arial"/>
                <w:kern w:val="0"/>
                <w:sz w:val="20"/>
                <w:szCs w:val="15"/>
                <w14:ligatures w14:val="none"/>
              </w:rPr>
              <w:t>+20,0%</w:t>
            </w:r>
          </w:p>
        </w:tc>
        <w:tc>
          <w:tcPr>
            <w:tcW w:w="4822" w:type="dxa"/>
            <w:vAlign w:val="center"/>
            <w:hideMark/>
          </w:tcPr>
          <w:p w14:paraId="41626C3A" w14:textId="77777777" w:rsidR="00E97AD5" w:rsidRPr="00E97AD5" w:rsidRDefault="00E97AD5" w:rsidP="00E50DB4">
            <w:pPr>
              <w:widowControl w:val="0"/>
              <w:autoSpaceDE w:val="0"/>
              <w:autoSpaceDN w:val="0"/>
              <w:spacing w:after="0"/>
              <w:jc w:val="both"/>
              <w:rPr>
                <w:rFonts w:eastAsia="Arial" w:cs="Arial"/>
                <w:kern w:val="0"/>
                <w:sz w:val="20"/>
                <w:szCs w:val="15"/>
                <w14:ligatures w14:val="none"/>
              </w:rPr>
            </w:pPr>
            <w:r w:rsidRPr="00E97AD5">
              <w:rPr>
                <w:rFonts w:eastAsia="Arial" w:cs="Arial"/>
                <w:kern w:val="0"/>
                <w:sz w:val="20"/>
                <w:szCs w:val="15"/>
                <w14:ligatures w14:val="none"/>
              </w:rPr>
              <w:t xml:space="preserve">Producción vehículos +21,4% ene-jun 2023; 295.777 unidades (máx. desde 2014). Exportaciones +14,8% </w:t>
            </w:r>
            <w:proofErr w:type="spellStart"/>
            <w:r w:rsidRPr="00E97AD5">
              <w:rPr>
                <w:rFonts w:eastAsia="Arial" w:cs="Arial"/>
                <w:kern w:val="0"/>
                <w:sz w:val="20"/>
                <w:szCs w:val="15"/>
                <w14:ligatures w14:val="none"/>
              </w:rPr>
              <w:t>may</w:t>
            </w:r>
            <w:proofErr w:type="spellEnd"/>
            <w:r w:rsidRPr="00E97AD5">
              <w:rPr>
                <w:rFonts w:eastAsia="Arial" w:cs="Arial"/>
                <w:kern w:val="0"/>
                <w:sz w:val="20"/>
                <w:szCs w:val="15"/>
                <w14:ligatures w14:val="none"/>
              </w:rPr>
              <w:t xml:space="preserve"> 2023.</w:t>
            </w:r>
          </w:p>
        </w:tc>
      </w:tr>
      <w:tr w:rsidR="00E97AD5" w:rsidRPr="00E97AD5" w14:paraId="63C591C9" w14:textId="77777777" w:rsidTr="00E50DB4">
        <w:trPr>
          <w:trHeight w:val="20"/>
        </w:trPr>
        <w:tc>
          <w:tcPr>
            <w:tcW w:w="2343" w:type="dxa"/>
            <w:vAlign w:val="center"/>
            <w:hideMark/>
          </w:tcPr>
          <w:p w14:paraId="35FAE76A" w14:textId="77777777" w:rsidR="00E97AD5" w:rsidRPr="00E97AD5" w:rsidRDefault="00E97AD5" w:rsidP="00E50DB4">
            <w:pPr>
              <w:widowControl w:val="0"/>
              <w:autoSpaceDE w:val="0"/>
              <w:autoSpaceDN w:val="0"/>
              <w:spacing w:after="0"/>
              <w:jc w:val="both"/>
              <w:rPr>
                <w:rFonts w:eastAsia="Arial" w:cs="Arial"/>
                <w:kern w:val="0"/>
                <w:sz w:val="20"/>
                <w:szCs w:val="15"/>
                <w14:ligatures w14:val="none"/>
              </w:rPr>
            </w:pPr>
            <w:r w:rsidRPr="00E97AD5">
              <w:rPr>
                <w:rFonts w:eastAsia="Arial" w:cs="Arial"/>
                <w:kern w:val="0"/>
                <w:sz w:val="20"/>
                <w:szCs w:val="15"/>
                <w14:ligatures w14:val="none"/>
              </w:rPr>
              <w:t>Siderurgia/Metalmecánica</w:t>
            </w:r>
          </w:p>
        </w:tc>
        <w:tc>
          <w:tcPr>
            <w:tcW w:w="2193" w:type="dxa"/>
            <w:vAlign w:val="center"/>
            <w:hideMark/>
          </w:tcPr>
          <w:p w14:paraId="758CAD7D" w14:textId="77777777" w:rsidR="00E97AD5" w:rsidRPr="00E97AD5" w:rsidRDefault="00E97AD5" w:rsidP="00E50DB4">
            <w:pPr>
              <w:widowControl w:val="0"/>
              <w:autoSpaceDE w:val="0"/>
              <w:autoSpaceDN w:val="0"/>
              <w:spacing w:after="0"/>
              <w:jc w:val="center"/>
              <w:rPr>
                <w:rFonts w:eastAsia="Arial" w:cs="Arial"/>
                <w:kern w:val="0"/>
                <w:sz w:val="20"/>
                <w:szCs w:val="15"/>
                <w14:ligatures w14:val="none"/>
              </w:rPr>
            </w:pPr>
            <w:r w:rsidRPr="00E97AD5">
              <w:rPr>
                <w:rFonts w:eastAsia="Arial" w:cs="Arial"/>
                <w:kern w:val="0"/>
                <w:sz w:val="20"/>
                <w:szCs w:val="15"/>
                <w14:ligatures w14:val="none"/>
              </w:rPr>
              <w:t>+7,0%</w:t>
            </w:r>
          </w:p>
        </w:tc>
        <w:tc>
          <w:tcPr>
            <w:tcW w:w="4822" w:type="dxa"/>
            <w:vAlign w:val="center"/>
            <w:hideMark/>
          </w:tcPr>
          <w:p w14:paraId="30E88867" w14:textId="77777777" w:rsidR="00E97AD5" w:rsidRPr="00E97AD5" w:rsidRDefault="00E97AD5" w:rsidP="00E50DB4">
            <w:pPr>
              <w:widowControl w:val="0"/>
              <w:autoSpaceDE w:val="0"/>
              <w:autoSpaceDN w:val="0"/>
              <w:spacing w:after="0"/>
              <w:jc w:val="both"/>
              <w:rPr>
                <w:rFonts w:eastAsia="Arial" w:cs="Arial"/>
                <w:kern w:val="0"/>
                <w:sz w:val="20"/>
                <w:szCs w:val="15"/>
                <w14:ligatures w14:val="none"/>
              </w:rPr>
            </w:pPr>
            <w:r w:rsidRPr="00E97AD5">
              <w:rPr>
                <w:rFonts w:eastAsia="Arial" w:cs="Arial"/>
                <w:kern w:val="0"/>
                <w:sz w:val="20"/>
                <w:szCs w:val="15"/>
                <w14:ligatures w14:val="none"/>
              </w:rPr>
              <w:t>Acero crudo +6,5%, planos calientes +7,4% (ene-jun 2023). Demanda construcción e insumos.</w:t>
            </w:r>
          </w:p>
        </w:tc>
      </w:tr>
      <w:tr w:rsidR="00E97AD5" w:rsidRPr="00E97AD5" w14:paraId="386A3C9A" w14:textId="77777777" w:rsidTr="00E50DB4">
        <w:trPr>
          <w:trHeight w:val="20"/>
        </w:trPr>
        <w:tc>
          <w:tcPr>
            <w:tcW w:w="2343" w:type="dxa"/>
            <w:vAlign w:val="center"/>
            <w:hideMark/>
          </w:tcPr>
          <w:p w14:paraId="2D76B8F7" w14:textId="77777777" w:rsidR="00E97AD5" w:rsidRPr="00E97AD5" w:rsidRDefault="00E97AD5" w:rsidP="00E50DB4">
            <w:pPr>
              <w:widowControl w:val="0"/>
              <w:autoSpaceDE w:val="0"/>
              <w:autoSpaceDN w:val="0"/>
              <w:spacing w:after="0"/>
              <w:jc w:val="both"/>
              <w:rPr>
                <w:rFonts w:eastAsia="Arial" w:cs="Arial"/>
                <w:kern w:val="0"/>
                <w:sz w:val="20"/>
                <w:szCs w:val="15"/>
                <w14:ligatures w14:val="none"/>
              </w:rPr>
            </w:pPr>
            <w:r w:rsidRPr="00E97AD5">
              <w:rPr>
                <w:rFonts w:eastAsia="Arial" w:cs="Arial"/>
                <w:kern w:val="0"/>
                <w:sz w:val="20"/>
                <w:szCs w:val="15"/>
                <w14:ligatures w14:val="none"/>
              </w:rPr>
              <w:t>Químicos y Plásticos</w:t>
            </w:r>
          </w:p>
        </w:tc>
        <w:tc>
          <w:tcPr>
            <w:tcW w:w="2193" w:type="dxa"/>
            <w:vAlign w:val="center"/>
            <w:hideMark/>
          </w:tcPr>
          <w:p w14:paraId="3EA2B99E" w14:textId="77777777" w:rsidR="00E97AD5" w:rsidRPr="00E97AD5" w:rsidRDefault="00E97AD5" w:rsidP="00E50DB4">
            <w:pPr>
              <w:widowControl w:val="0"/>
              <w:autoSpaceDE w:val="0"/>
              <w:autoSpaceDN w:val="0"/>
              <w:spacing w:after="0"/>
              <w:jc w:val="center"/>
              <w:rPr>
                <w:rFonts w:eastAsia="Arial" w:cs="Arial"/>
                <w:kern w:val="0"/>
                <w:sz w:val="20"/>
                <w:szCs w:val="15"/>
                <w14:ligatures w14:val="none"/>
              </w:rPr>
            </w:pPr>
            <w:r w:rsidRPr="00E97AD5">
              <w:rPr>
                <w:rFonts w:eastAsia="Arial" w:cs="Arial"/>
                <w:kern w:val="0"/>
                <w:sz w:val="20"/>
                <w:szCs w:val="15"/>
                <w14:ligatures w14:val="none"/>
              </w:rPr>
              <w:t>+8,5%</w:t>
            </w:r>
          </w:p>
        </w:tc>
        <w:tc>
          <w:tcPr>
            <w:tcW w:w="4822" w:type="dxa"/>
            <w:vAlign w:val="center"/>
            <w:hideMark/>
          </w:tcPr>
          <w:p w14:paraId="03B7ACBB" w14:textId="77777777" w:rsidR="00E97AD5" w:rsidRPr="00E97AD5" w:rsidRDefault="00E97AD5" w:rsidP="00E50DB4">
            <w:pPr>
              <w:widowControl w:val="0"/>
              <w:autoSpaceDE w:val="0"/>
              <w:autoSpaceDN w:val="0"/>
              <w:spacing w:after="0"/>
              <w:jc w:val="both"/>
              <w:rPr>
                <w:rFonts w:eastAsia="Arial" w:cs="Arial"/>
                <w:kern w:val="0"/>
                <w:sz w:val="20"/>
                <w:szCs w:val="15"/>
                <w14:ligatures w14:val="none"/>
              </w:rPr>
            </w:pPr>
            <w:r w:rsidRPr="00E97AD5">
              <w:rPr>
                <w:rFonts w:eastAsia="Arial" w:cs="Arial"/>
                <w:kern w:val="0"/>
                <w:sz w:val="20"/>
                <w:szCs w:val="15"/>
                <w14:ligatures w14:val="none"/>
              </w:rPr>
              <w:t>+10,3% ene 2023; manufacturas plásticas +10,5%. Beneficiado por exportaciones.</w:t>
            </w:r>
          </w:p>
        </w:tc>
      </w:tr>
      <w:tr w:rsidR="00E97AD5" w:rsidRPr="00E97AD5" w14:paraId="2077EBD9" w14:textId="77777777" w:rsidTr="00E50DB4">
        <w:trPr>
          <w:trHeight w:val="20"/>
        </w:trPr>
        <w:tc>
          <w:tcPr>
            <w:tcW w:w="2343" w:type="dxa"/>
            <w:vAlign w:val="center"/>
            <w:hideMark/>
          </w:tcPr>
          <w:p w14:paraId="5EA3C266" w14:textId="77777777" w:rsidR="00E97AD5" w:rsidRPr="00E97AD5" w:rsidRDefault="00E97AD5" w:rsidP="00E50DB4">
            <w:pPr>
              <w:widowControl w:val="0"/>
              <w:autoSpaceDE w:val="0"/>
              <w:autoSpaceDN w:val="0"/>
              <w:spacing w:after="0"/>
              <w:jc w:val="both"/>
              <w:rPr>
                <w:rFonts w:eastAsia="Arial" w:cs="Arial"/>
                <w:kern w:val="0"/>
                <w:sz w:val="20"/>
                <w:szCs w:val="15"/>
                <w14:ligatures w14:val="none"/>
              </w:rPr>
            </w:pPr>
            <w:r w:rsidRPr="00E97AD5">
              <w:rPr>
                <w:rFonts w:eastAsia="Arial" w:cs="Arial"/>
                <w:kern w:val="0"/>
                <w:sz w:val="20"/>
                <w:szCs w:val="15"/>
                <w14:ligatures w14:val="none"/>
              </w:rPr>
              <w:t>Textil y Calzado</w:t>
            </w:r>
          </w:p>
        </w:tc>
        <w:tc>
          <w:tcPr>
            <w:tcW w:w="2193" w:type="dxa"/>
            <w:vAlign w:val="center"/>
            <w:hideMark/>
          </w:tcPr>
          <w:p w14:paraId="4B65B6D2" w14:textId="77777777" w:rsidR="00E97AD5" w:rsidRPr="00E97AD5" w:rsidRDefault="00E97AD5" w:rsidP="00E50DB4">
            <w:pPr>
              <w:widowControl w:val="0"/>
              <w:autoSpaceDE w:val="0"/>
              <w:autoSpaceDN w:val="0"/>
              <w:spacing w:after="0"/>
              <w:jc w:val="center"/>
              <w:rPr>
                <w:rFonts w:eastAsia="Arial" w:cs="Arial"/>
                <w:kern w:val="0"/>
                <w:sz w:val="20"/>
                <w:szCs w:val="15"/>
                <w14:ligatures w14:val="none"/>
              </w:rPr>
            </w:pPr>
            <w:r w:rsidRPr="00E97AD5">
              <w:rPr>
                <w:rFonts w:eastAsia="Arial" w:cs="Arial"/>
                <w:kern w:val="0"/>
                <w:sz w:val="20"/>
                <w:szCs w:val="15"/>
                <w14:ligatures w14:val="none"/>
              </w:rPr>
              <w:t>-2,5%</w:t>
            </w:r>
          </w:p>
        </w:tc>
        <w:tc>
          <w:tcPr>
            <w:tcW w:w="4822" w:type="dxa"/>
            <w:vAlign w:val="center"/>
            <w:hideMark/>
          </w:tcPr>
          <w:p w14:paraId="1823621F" w14:textId="77777777" w:rsidR="00E97AD5" w:rsidRPr="00E97AD5" w:rsidRDefault="00E97AD5" w:rsidP="00E50DB4">
            <w:pPr>
              <w:widowControl w:val="0"/>
              <w:autoSpaceDE w:val="0"/>
              <w:autoSpaceDN w:val="0"/>
              <w:spacing w:after="0"/>
              <w:jc w:val="both"/>
              <w:rPr>
                <w:rFonts w:eastAsia="Arial" w:cs="Arial"/>
                <w:kern w:val="0"/>
                <w:sz w:val="20"/>
                <w:szCs w:val="15"/>
                <w14:ligatures w14:val="none"/>
              </w:rPr>
            </w:pPr>
            <w:r w:rsidRPr="00E97AD5">
              <w:rPr>
                <w:rFonts w:eastAsia="Arial" w:cs="Arial"/>
                <w:kern w:val="0"/>
                <w:sz w:val="20"/>
                <w:szCs w:val="15"/>
                <w14:ligatures w14:val="none"/>
              </w:rPr>
              <w:t>Caída por competencia importada y demanda interna débil.</w:t>
            </w:r>
          </w:p>
        </w:tc>
      </w:tr>
      <w:tr w:rsidR="00E97AD5" w:rsidRPr="00E97AD5" w14:paraId="713E200C" w14:textId="77777777" w:rsidTr="00E50DB4">
        <w:trPr>
          <w:trHeight w:val="20"/>
        </w:trPr>
        <w:tc>
          <w:tcPr>
            <w:tcW w:w="2343" w:type="dxa"/>
            <w:vAlign w:val="center"/>
            <w:hideMark/>
          </w:tcPr>
          <w:p w14:paraId="339F9A3B" w14:textId="77777777" w:rsidR="00E97AD5" w:rsidRPr="00E97AD5" w:rsidRDefault="00E97AD5" w:rsidP="00E50DB4">
            <w:pPr>
              <w:widowControl w:val="0"/>
              <w:autoSpaceDE w:val="0"/>
              <w:autoSpaceDN w:val="0"/>
              <w:spacing w:after="0"/>
              <w:jc w:val="both"/>
              <w:rPr>
                <w:rFonts w:eastAsia="Arial" w:cs="Arial"/>
                <w:kern w:val="0"/>
                <w:sz w:val="20"/>
                <w:szCs w:val="15"/>
                <w14:ligatures w14:val="none"/>
              </w:rPr>
            </w:pPr>
            <w:r w:rsidRPr="00E97AD5">
              <w:rPr>
                <w:rFonts w:eastAsia="Arial" w:cs="Arial"/>
                <w:kern w:val="0"/>
                <w:sz w:val="20"/>
                <w:szCs w:val="15"/>
                <w14:ligatures w14:val="none"/>
              </w:rPr>
              <w:t>Maquinaria y Equipos</w:t>
            </w:r>
          </w:p>
        </w:tc>
        <w:tc>
          <w:tcPr>
            <w:tcW w:w="2193" w:type="dxa"/>
            <w:vAlign w:val="center"/>
            <w:hideMark/>
          </w:tcPr>
          <w:p w14:paraId="0CEC9E55" w14:textId="77777777" w:rsidR="00E97AD5" w:rsidRPr="00E97AD5" w:rsidRDefault="00E97AD5" w:rsidP="00E50DB4">
            <w:pPr>
              <w:widowControl w:val="0"/>
              <w:autoSpaceDE w:val="0"/>
              <w:autoSpaceDN w:val="0"/>
              <w:spacing w:after="0"/>
              <w:jc w:val="center"/>
              <w:rPr>
                <w:rFonts w:eastAsia="Arial" w:cs="Arial"/>
                <w:kern w:val="0"/>
                <w:sz w:val="20"/>
                <w:szCs w:val="15"/>
                <w14:ligatures w14:val="none"/>
              </w:rPr>
            </w:pPr>
            <w:r w:rsidRPr="00E97AD5">
              <w:rPr>
                <w:rFonts w:eastAsia="Arial" w:cs="Arial"/>
                <w:kern w:val="0"/>
                <w:sz w:val="20"/>
                <w:szCs w:val="15"/>
                <w14:ligatures w14:val="none"/>
              </w:rPr>
              <w:t>+3,2%</w:t>
            </w:r>
          </w:p>
        </w:tc>
        <w:tc>
          <w:tcPr>
            <w:tcW w:w="4822" w:type="dxa"/>
            <w:vAlign w:val="center"/>
            <w:hideMark/>
          </w:tcPr>
          <w:p w14:paraId="6C82CEA2" w14:textId="77777777" w:rsidR="00E97AD5" w:rsidRPr="00E97AD5" w:rsidRDefault="00E97AD5" w:rsidP="00E50DB4">
            <w:pPr>
              <w:widowControl w:val="0"/>
              <w:autoSpaceDE w:val="0"/>
              <w:autoSpaceDN w:val="0"/>
              <w:spacing w:after="0"/>
              <w:jc w:val="both"/>
              <w:rPr>
                <w:rFonts w:eastAsia="Arial" w:cs="Arial"/>
                <w:kern w:val="0"/>
                <w:sz w:val="20"/>
                <w:szCs w:val="15"/>
                <w14:ligatures w14:val="none"/>
              </w:rPr>
            </w:pPr>
            <w:r w:rsidRPr="00E97AD5">
              <w:rPr>
                <w:rFonts w:eastAsia="Arial" w:cs="Arial"/>
                <w:kern w:val="0"/>
                <w:sz w:val="20"/>
                <w:szCs w:val="15"/>
                <w14:ligatures w14:val="none"/>
              </w:rPr>
              <w:t>Crecimiento moderado por inversión (+28,8% vs. 2019).</w:t>
            </w:r>
          </w:p>
        </w:tc>
      </w:tr>
    </w:tbl>
    <w:p w14:paraId="1BC2E832" w14:textId="77777777" w:rsidR="00E50DB4" w:rsidRDefault="00E50DB4" w:rsidP="00E50DB4">
      <w:pPr>
        <w:spacing w:after="0"/>
        <w:jc w:val="both"/>
      </w:pPr>
    </w:p>
    <w:p w14:paraId="30D15D24" w14:textId="0E6887DD" w:rsidR="00E97AD5" w:rsidRDefault="00E97AD5" w:rsidP="00E50DB4">
      <w:pPr>
        <w:spacing w:after="0"/>
        <w:jc w:val="both"/>
      </w:pPr>
      <w:r>
        <w:t>Factores Clave</w:t>
      </w:r>
      <w:r w:rsidR="00E50DB4">
        <w:t>s</w:t>
      </w:r>
      <w:r>
        <w:t xml:space="preserve"> de Influencia</w:t>
      </w:r>
      <w:r w:rsidR="00E50DB4">
        <w:t xml:space="preserve"> en la Industria:</w:t>
      </w:r>
    </w:p>
    <w:p w14:paraId="74A59849" w14:textId="77777777" w:rsidR="00E50DB4" w:rsidRDefault="00E50DB4" w:rsidP="00E50DB4">
      <w:pPr>
        <w:spacing w:after="0"/>
        <w:jc w:val="both"/>
      </w:pPr>
    </w:p>
    <w:p w14:paraId="6AEEFD93" w14:textId="7D9A6A9C" w:rsidR="00E97AD5" w:rsidRDefault="00E97AD5" w:rsidP="00E50DB4">
      <w:pPr>
        <w:pStyle w:val="Prrafodelista"/>
        <w:numPr>
          <w:ilvl w:val="0"/>
          <w:numId w:val="2"/>
        </w:numPr>
        <w:spacing w:after="0"/>
        <w:ind w:left="357" w:hanging="357"/>
        <w:jc w:val="both"/>
      </w:pPr>
      <w:r>
        <w:t>Positivos: Recuperación del consumo interno (+6,4% comercio 2022, arrastre) y exportaciones no tradicionales (servicios +7.000M USD proyectados). Inversión en activos fijos +10,9% anual 2022. Políticas como "</w:t>
      </w:r>
      <w:proofErr w:type="gramStart"/>
      <w:r>
        <w:t>Dólar</w:t>
      </w:r>
      <w:proofErr w:type="gramEnd"/>
      <w:r>
        <w:t xml:space="preserve"> Soja" indirectamente beneficiaron cadenas industriales.</w:t>
      </w:r>
    </w:p>
    <w:p w14:paraId="6D82E5E3" w14:textId="12BFB624" w:rsidR="00E97AD5" w:rsidRDefault="00E97AD5" w:rsidP="00E50DB4">
      <w:pPr>
        <w:pStyle w:val="Prrafodelista"/>
        <w:numPr>
          <w:ilvl w:val="0"/>
          <w:numId w:val="2"/>
        </w:numPr>
        <w:spacing w:after="0"/>
        <w:ind w:left="357" w:hanging="357"/>
        <w:jc w:val="both"/>
      </w:pPr>
      <w:r>
        <w:lastRenderedPageBreak/>
        <w:t xml:space="preserve">Negativos: Sequía 2022-2023 (-55M toneladas soja/maíz) impactó agroindustria (- impacto en alimentos procesados). Inflación global elevó costos (+13% </w:t>
      </w:r>
      <w:proofErr w:type="spellStart"/>
      <w:r>
        <w:t>commodities</w:t>
      </w:r>
      <w:proofErr w:type="spellEnd"/>
      <w:r>
        <w:t xml:space="preserve"> mar 2022). Desaceleración China (principal socio) afectó metales.</w:t>
      </w:r>
    </w:p>
    <w:p w14:paraId="51BA2E79" w14:textId="2E47FED1" w:rsidR="00E97AD5" w:rsidRDefault="00E97AD5" w:rsidP="00E50DB4">
      <w:pPr>
        <w:pStyle w:val="Prrafodelista"/>
        <w:numPr>
          <w:ilvl w:val="0"/>
          <w:numId w:val="2"/>
        </w:numPr>
        <w:spacing w:after="0"/>
        <w:ind w:left="357" w:hanging="357"/>
        <w:jc w:val="both"/>
      </w:pPr>
      <w:r>
        <w:t>Empleo y Capacidad: +251.900 puestos privados (+4,1% mar 2023 vs. 2022); capacidad instalada ~72% (abr 2023), por encima de prepandemia (+16,5% vs. dic 2019).</w:t>
      </w:r>
    </w:p>
    <w:p w14:paraId="605D3348" w14:textId="77777777" w:rsidR="00E50DB4" w:rsidRDefault="00E50DB4" w:rsidP="00E50DB4">
      <w:pPr>
        <w:spacing w:after="0"/>
        <w:jc w:val="both"/>
      </w:pPr>
    </w:p>
    <w:p w14:paraId="56A2A88D" w14:textId="4C186EBD" w:rsidR="00E97AD5" w:rsidRDefault="00E97AD5" w:rsidP="00E50DB4">
      <w:pPr>
        <w:spacing w:after="0"/>
        <w:jc w:val="both"/>
      </w:pPr>
      <w:r>
        <w:t>En resumen, la industria contribuyó 0,8 p.p. al PIB 2022 (+5% sectorial), pero el período mostró desaceleración en Q4-Q1 por sequía, cerrando con resiliencia en Q1 2023. El sector superó niveles prepandemia en 16,5% (abr 2023), pero vulnerabilidades climáticas y externas persisten.</w:t>
      </w:r>
    </w:p>
    <w:p w14:paraId="54E111DB" w14:textId="77777777" w:rsidR="00E50DB4" w:rsidRDefault="00E50DB4" w:rsidP="00E50DB4">
      <w:pPr>
        <w:spacing w:after="0"/>
        <w:jc w:val="both"/>
      </w:pPr>
    </w:p>
    <w:p w14:paraId="146721A0" w14:textId="72853D33" w:rsidR="00EF4AEE" w:rsidRDefault="00EF4AEE" w:rsidP="00E50DB4">
      <w:pPr>
        <w:spacing w:after="0"/>
        <w:jc w:val="both"/>
      </w:pPr>
      <w:r>
        <w:t>Es de singular importancia tener presente que Argentina se vio afectada por la sequía de 2022-2023</w:t>
      </w:r>
      <w:r w:rsidR="00E16CCD">
        <w:t xml:space="preserve"> que</w:t>
      </w:r>
      <w:r>
        <w:t xml:space="preserve"> fue la peor registrada en Argentina en los últimos 60 años,</w:t>
      </w:r>
    </w:p>
    <w:p w14:paraId="481889E1" w14:textId="77777777" w:rsidR="00E50DB4" w:rsidRDefault="00E50DB4" w:rsidP="00E50DB4">
      <w:pPr>
        <w:spacing w:after="0"/>
        <w:jc w:val="both"/>
      </w:pPr>
    </w:p>
    <w:p w14:paraId="587C29DE" w14:textId="57700FD1" w:rsidR="00E16CCD" w:rsidRDefault="00E16CCD" w:rsidP="00E50DB4">
      <w:pPr>
        <w:spacing w:after="0"/>
        <w:jc w:val="both"/>
      </w:pPr>
      <w:r>
        <w:t>Detallamos en el Cuadro adjunto los impactos de dicha situación del sector agroindustrial y como impactó en la economía en general, no debemos olvidar que la agroindustria aporta el 65% de las exportaciones argentinas.</w:t>
      </w:r>
    </w:p>
    <w:p w14:paraId="550A7148" w14:textId="77777777" w:rsidR="00E50DB4" w:rsidRDefault="00E50DB4" w:rsidP="00E50DB4">
      <w:pPr>
        <w:spacing w:after="0"/>
        <w:jc w:val="both"/>
      </w:pP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9"/>
        <w:gridCol w:w="4769"/>
      </w:tblGrid>
      <w:tr w:rsidR="00E16CCD" w:rsidRPr="00E16CCD" w14:paraId="0A38AEC7" w14:textId="77777777" w:rsidTr="00E16CCD">
        <w:trPr>
          <w:trHeight w:val="330"/>
        </w:trPr>
        <w:tc>
          <w:tcPr>
            <w:tcW w:w="2449" w:type="pct"/>
            <w:vAlign w:val="center"/>
          </w:tcPr>
          <w:p w14:paraId="3D9D0FB4" w14:textId="77777777" w:rsidR="00E16CCD" w:rsidRPr="00E16CCD" w:rsidRDefault="00E16CCD" w:rsidP="00E50DB4">
            <w:pPr>
              <w:spacing w:line="0" w:lineRule="atLeast"/>
              <w:ind w:left="5"/>
              <w:jc w:val="center"/>
              <w:rPr>
                <w:rFonts w:ascii="Arial" w:eastAsia="Arial" w:hAnsi="Arial" w:cs="Arial"/>
                <w:b/>
                <w:sz w:val="20"/>
                <w:szCs w:val="20"/>
                <w:lang w:val="es-ES"/>
              </w:rPr>
            </w:pPr>
            <w:r w:rsidRPr="00E16CCD">
              <w:rPr>
                <w:rFonts w:ascii="Arial" w:eastAsia="Arial" w:hAnsi="Arial" w:cs="Arial"/>
                <w:b/>
                <w:color w:val="0E1318"/>
                <w:spacing w:val="-2"/>
                <w:w w:val="105"/>
                <w:sz w:val="20"/>
                <w:szCs w:val="20"/>
                <w:lang w:val="es-ES"/>
              </w:rPr>
              <w:t>Indicador</w:t>
            </w:r>
          </w:p>
        </w:tc>
        <w:tc>
          <w:tcPr>
            <w:tcW w:w="2551" w:type="pct"/>
            <w:vAlign w:val="center"/>
          </w:tcPr>
          <w:p w14:paraId="4D703D9D" w14:textId="77777777" w:rsidR="00E16CCD" w:rsidRPr="00E16CCD" w:rsidRDefault="00E16CCD" w:rsidP="00E50DB4">
            <w:pPr>
              <w:spacing w:line="0" w:lineRule="atLeast"/>
              <w:ind w:left="127"/>
              <w:jc w:val="center"/>
              <w:rPr>
                <w:rFonts w:ascii="Arial" w:eastAsia="Arial" w:hAnsi="Arial" w:cs="Arial"/>
                <w:b/>
                <w:sz w:val="20"/>
                <w:szCs w:val="20"/>
                <w:lang w:val="es-ES"/>
              </w:rPr>
            </w:pPr>
            <w:r w:rsidRPr="00E16CCD">
              <w:rPr>
                <w:rFonts w:ascii="Arial" w:eastAsia="Arial" w:hAnsi="Arial" w:cs="Arial"/>
                <w:b/>
                <w:color w:val="0E1318"/>
                <w:sz w:val="20"/>
                <w:szCs w:val="20"/>
                <w:lang w:val="es-ES"/>
              </w:rPr>
              <w:t>Valor</w:t>
            </w:r>
            <w:r w:rsidRPr="00E16CCD">
              <w:rPr>
                <w:rFonts w:ascii="Arial" w:eastAsia="Arial" w:hAnsi="Arial" w:cs="Arial"/>
                <w:b/>
                <w:color w:val="0E1318"/>
                <w:spacing w:val="10"/>
                <w:sz w:val="20"/>
                <w:szCs w:val="20"/>
                <w:lang w:val="es-ES"/>
              </w:rPr>
              <w:t xml:space="preserve"> </w:t>
            </w:r>
            <w:r w:rsidRPr="00E16CCD">
              <w:rPr>
                <w:rFonts w:ascii="Arial" w:eastAsia="Arial" w:hAnsi="Arial" w:cs="Arial"/>
                <w:b/>
                <w:color w:val="0E1318"/>
                <w:spacing w:val="-2"/>
                <w:sz w:val="20"/>
                <w:szCs w:val="20"/>
                <w:lang w:val="es-ES"/>
              </w:rPr>
              <w:t>estimado</w:t>
            </w:r>
          </w:p>
        </w:tc>
      </w:tr>
      <w:tr w:rsidR="00E16CCD" w:rsidRPr="00E16CCD" w14:paraId="68F6E6AB" w14:textId="77777777" w:rsidTr="00E16CCD">
        <w:trPr>
          <w:trHeight w:val="20"/>
        </w:trPr>
        <w:tc>
          <w:tcPr>
            <w:tcW w:w="2449" w:type="pct"/>
          </w:tcPr>
          <w:p w14:paraId="3B95AB6F" w14:textId="5C88A05F" w:rsidR="00E16CCD" w:rsidRPr="00E16CCD" w:rsidRDefault="00E16CCD" w:rsidP="00E50DB4">
            <w:pPr>
              <w:spacing w:line="0" w:lineRule="atLeast"/>
              <w:rPr>
                <w:rFonts w:ascii="Arial" w:eastAsia="Arial" w:hAnsi="Arial" w:cs="Arial"/>
                <w:bCs/>
                <w:sz w:val="20"/>
                <w:szCs w:val="20"/>
                <w:lang w:val="es-ES"/>
              </w:rPr>
            </w:pPr>
            <w:r w:rsidRPr="00E16CCD">
              <w:rPr>
                <w:rFonts w:ascii="Arial" w:eastAsia="Arial" w:hAnsi="Arial" w:cs="Arial"/>
                <w:bCs/>
                <w:color w:val="0E1318"/>
                <w:w w:val="105"/>
                <w:sz w:val="20"/>
                <w:szCs w:val="20"/>
                <w:lang w:val="es-ES"/>
              </w:rPr>
              <w:t>Pérdida</w:t>
            </w:r>
            <w:r w:rsidRPr="00E16CCD">
              <w:rPr>
                <w:rFonts w:ascii="Arial" w:eastAsia="Arial" w:hAnsi="Arial" w:cs="Arial"/>
                <w:bCs/>
                <w:color w:val="0E1318"/>
                <w:spacing w:val="-9"/>
                <w:w w:val="105"/>
                <w:sz w:val="20"/>
                <w:szCs w:val="20"/>
                <w:lang w:val="es-ES"/>
              </w:rPr>
              <w:t xml:space="preserve"> </w:t>
            </w:r>
            <w:r w:rsidRPr="00E16CCD">
              <w:rPr>
                <w:rFonts w:ascii="Arial" w:eastAsia="Arial" w:hAnsi="Arial" w:cs="Arial"/>
                <w:bCs/>
                <w:color w:val="0E1318"/>
                <w:w w:val="105"/>
                <w:sz w:val="20"/>
                <w:szCs w:val="20"/>
                <w:lang w:val="es-ES"/>
              </w:rPr>
              <w:t>de</w:t>
            </w:r>
            <w:r w:rsidRPr="00E16CCD">
              <w:rPr>
                <w:rFonts w:ascii="Arial" w:eastAsia="Arial" w:hAnsi="Arial" w:cs="Arial"/>
                <w:bCs/>
                <w:color w:val="0E1318"/>
                <w:spacing w:val="-9"/>
                <w:w w:val="105"/>
                <w:sz w:val="20"/>
                <w:szCs w:val="20"/>
                <w:lang w:val="es-ES"/>
              </w:rPr>
              <w:t xml:space="preserve"> </w:t>
            </w:r>
            <w:r w:rsidRPr="00E16CCD">
              <w:rPr>
                <w:rFonts w:ascii="Arial" w:eastAsia="Arial" w:hAnsi="Arial" w:cs="Arial"/>
                <w:bCs/>
                <w:color w:val="0E1318"/>
                <w:w w:val="105"/>
                <w:sz w:val="20"/>
                <w:szCs w:val="20"/>
                <w:lang w:val="es-ES"/>
              </w:rPr>
              <w:t xml:space="preserve">exportaciones </w:t>
            </w:r>
            <w:r>
              <w:rPr>
                <w:rFonts w:ascii="Arial" w:eastAsia="Arial" w:hAnsi="Arial" w:cs="Arial"/>
                <w:bCs/>
                <w:color w:val="0E1318"/>
                <w:w w:val="105"/>
                <w:sz w:val="20"/>
                <w:szCs w:val="20"/>
                <w:lang w:val="es-ES"/>
              </w:rPr>
              <w:t>a</w:t>
            </w:r>
            <w:r w:rsidRPr="00E16CCD">
              <w:rPr>
                <w:rFonts w:ascii="Arial" w:eastAsia="Arial" w:hAnsi="Arial" w:cs="Arial"/>
                <w:bCs/>
                <w:color w:val="0E1318"/>
                <w:spacing w:val="-2"/>
                <w:w w:val="105"/>
                <w:sz w:val="20"/>
                <w:szCs w:val="20"/>
                <w:lang w:val="es-ES"/>
              </w:rPr>
              <w:t>groindustriales</w:t>
            </w:r>
          </w:p>
        </w:tc>
        <w:tc>
          <w:tcPr>
            <w:tcW w:w="2551" w:type="pct"/>
          </w:tcPr>
          <w:p w14:paraId="330A3F63" w14:textId="77777777" w:rsidR="00E16CCD" w:rsidRPr="00E16CCD" w:rsidRDefault="00E16CCD" w:rsidP="00E50DB4">
            <w:pPr>
              <w:spacing w:line="0" w:lineRule="atLeast"/>
              <w:rPr>
                <w:rFonts w:ascii="Arial" w:eastAsia="Arial" w:hAnsi="Arial" w:cs="Arial"/>
                <w:bCs/>
                <w:sz w:val="20"/>
                <w:szCs w:val="20"/>
                <w:lang w:val="es-ES"/>
              </w:rPr>
            </w:pPr>
            <w:r w:rsidRPr="00E16CCD">
              <w:rPr>
                <w:rFonts w:ascii="Arial" w:eastAsia="Arial" w:hAnsi="Arial" w:cs="Arial"/>
                <w:bCs/>
                <w:color w:val="0E1318"/>
                <w:w w:val="115"/>
                <w:sz w:val="20"/>
                <w:szCs w:val="20"/>
                <w:lang w:val="es-ES"/>
              </w:rPr>
              <w:t>US$</w:t>
            </w:r>
            <w:r w:rsidRPr="00E16CCD">
              <w:rPr>
                <w:rFonts w:ascii="Arial" w:eastAsia="Arial" w:hAnsi="Arial" w:cs="Arial"/>
                <w:bCs/>
                <w:color w:val="0E1318"/>
                <w:spacing w:val="-4"/>
                <w:w w:val="115"/>
                <w:sz w:val="20"/>
                <w:szCs w:val="20"/>
                <w:lang w:val="es-ES"/>
              </w:rPr>
              <w:t xml:space="preserve"> </w:t>
            </w:r>
            <w:r w:rsidRPr="00E16CCD">
              <w:rPr>
                <w:rFonts w:ascii="Arial" w:eastAsia="Arial" w:hAnsi="Arial" w:cs="Arial"/>
                <w:bCs/>
                <w:color w:val="0E1318"/>
                <w:w w:val="115"/>
                <w:sz w:val="20"/>
                <w:szCs w:val="20"/>
                <w:lang w:val="es-ES"/>
              </w:rPr>
              <w:t>20.000</w:t>
            </w:r>
            <w:r w:rsidRPr="00E16CCD">
              <w:rPr>
                <w:rFonts w:ascii="Arial" w:eastAsia="Arial" w:hAnsi="Arial" w:cs="Arial"/>
                <w:bCs/>
                <w:color w:val="0E1318"/>
                <w:spacing w:val="-3"/>
                <w:w w:val="115"/>
                <w:sz w:val="20"/>
                <w:szCs w:val="20"/>
                <w:lang w:val="es-ES"/>
              </w:rPr>
              <w:t xml:space="preserve"> </w:t>
            </w:r>
            <w:r w:rsidRPr="00E16CCD">
              <w:rPr>
                <w:rFonts w:ascii="Arial" w:eastAsia="Arial" w:hAnsi="Arial" w:cs="Arial"/>
                <w:bCs/>
                <w:color w:val="0E1318"/>
                <w:spacing w:val="-2"/>
                <w:w w:val="115"/>
                <w:sz w:val="20"/>
                <w:szCs w:val="20"/>
                <w:lang w:val="es-ES"/>
              </w:rPr>
              <w:t>millones</w:t>
            </w:r>
          </w:p>
        </w:tc>
      </w:tr>
      <w:tr w:rsidR="00E16CCD" w:rsidRPr="00E16CCD" w14:paraId="4A88403D" w14:textId="77777777" w:rsidTr="00E16CCD">
        <w:trPr>
          <w:trHeight w:val="20"/>
        </w:trPr>
        <w:tc>
          <w:tcPr>
            <w:tcW w:w="2449" w:type="pct"/>
          </w:tcPr>
          <w:p w14:paraId="7CF1F5B2" w14:textId="77777777" w:rsidR="00E16CCD" w:rsidRPr="00E16CCD" w:rsidRDefault="00E16CCD" w:rsidP="00E50DB4">
            <w:pPr>
              <w:spacing w:line="0" w:lineRule="atLeast"/>
              <w:rPr>
                <w:rFonts w:ascii="Arial" w:eastAsia="Arial" w:hAnsi="Arial" w:cs="Arial"/>
                <w:bCs/>
                <w:sz w:val="20"/>
                <w:szCs w:val="20"/>
                <w:lang w:val="es-ES"/>
              </w:rPr>
            </w:pPr>
            <w:r w:rsidRPr="00E16CCD">
              <w:rPr>
                <w:rFonts w:ascii="Arial" w:eastAsia="Arial" w:hAnsi="Arial" w:cs="Arial"/>
                <w:bCs/>
                <w:color w:val="0E1318"/>
                <w:sz w:val="20"/>
                <w:szCs w:val="20"/>
                <w:lang w:val="es-ES"/>
              </w:rPr>
              <w:t>Caída</w:t>
            </w:r>
            <w:r w:rsidRPr="00E16CCD">
              <w:rPr>
                <w:rFonts w:ascii="Arial" w:eastAsia="Arial" w:hAnsi="Arial" w:cs="Arial"/>
                <w:bCs/>
                <w:color w:val="0E1318"/>
                <w:spacing w:val="8"/>
                <w:sz w:val="20"/>
                <w:szCs w:val="20"/>
                <w:lang w:val="es-ES"/>
              </w:rPr>
              <w:t xml:space="preserve"> </w:t>
            </w:r>
            <w:r w:rsidRPr="00E16CCD">
              <w:rPr>
                <w:rFonts w:ascii="Arial" w:eastAsia="Arial" w:hAnsi="Arial" w:cs="Arial"/>
                <w:bCs/>
                <w:color w:val="0E1318"/>
                <w:sz w:val="20"/>
                <w:szCs w:val="20"/>
                <w:lang w:val="es-ES"/>
              </w:rPr>
              <w:t>del</w:t>
            </w:r>
            <w:r w:rsidRPr="00E16CCD">
              <w:rPr>
                <w:rFonts w:ascii="Arial" w:eastAsia="Arial" w:hAnsi="Arial" w:cs="Arial"/>
                <w:bCs/>
                <w:color w:val="0E1318"/>
                <w:spacing w:val="8"/>
                <w:sz w:val="20"/>
                <w:szCs w:val="20"/>
                <w:lang w:val="es-ES"/>
              </w:rPr>
              <w:t xml:space="preserve"> </w:t>
            </w:r>
            <w:r w:rsidRPr="00E16CCD">
              <w:rPr>
                <w:rFonts w:ascii="Arial" w:eastAsia="Arial" w:hAnsi="Arial" w:cs="Arial"/>
                <w:bCs/>
                <w:color w:val="0E1318"/>
                <w:sz w:val="20"/>
                <w:szCs w:val="20"/>
                <w:lang w:val="es-ES"/>
              </w:rPr>
              <w:t>PIB</w:t>
            </w:r>
            <w:r w:rsidRPr="00E16CCD">
              <w:rPr>
                <w:rFonts w:ascii="Arial" w:eastAsia="Arial" w:hAnsi="Arial" w:cs="Arial"/>
                <w:bCs/>
                <w:color w:val="0E1318"/>
                <w:spacing w:val="8"/>
                <w:sz w:val="20"/>
                <w:szCs w:val="20"/>
                <w:lang w:val="es-ES"/>
              </w:rPr>
              <w:t xml:space="preserve"> </w:t>
            </w:r>
            <w:r w:rsidRPr="00E16CCD">
              <w:rPr>
                <w:rFonts w:ascii="Arial" w:eastAsia="Arial" w:hAnsi="Arial" w:cs="Arial"/>
                <w:bCs/>
                <w:color w:val="0E1318"/>
                <w:spacing w:val="-4"/>
                <w:sz w:val="20"/>
                <w:szCs w:val="20"/>
                <w:lang w:val="es-ES"/>
              </w:rPr>
              <w:t>2023</w:t>
            </w:r>
          </w:p>
        </w:tc>
        <w:tc>
          <w:tcPr>
            <w:tcW w:w="2551" w:type="pct"/>
          </w:tcPr>
          <w:p w14:paraId="696BA64C" w14:textId="77777777" w:rsidR="00E16CCD" w:rsidRPr="00E16CCD" w:rsidRDefault="00E16CCD" w:rsidP="00E50DB4">
            <w:pPr>
              <w:spacing w:line="0" w:lineRule="atLeast"/>
              <w:rPr>
                <w:rFonts w:ascii="Arial" w:eastAsia="Arial" w:hAnsi="Arial" w:cs="Arial"/>
                <w:bCs/>
                <w:sz w:val="20"/>
                <w:szCs w:val="20"/>
                <w:lang w:val="es-ES"/>
              </w:rPr>
            </w:pPr>
            <w:r w:rsidRPr="00E16CCD">
              <w:rPr>
                <w:rFonts w:ascii="Arial" w:eastAsia="Arial" w:hAnsi="Arial" w:cs="Arial"/>
                <w:bCs/>
                <w:color w:val="0E1318"/>
                <w:w w:val="110"/>
                <w:sz w:val="20"/>
                <w:szCs w:val="20"/>
                <w:lang w:val="es-ES"/>
              </w:rPr>
              <w:t>-2,5%</w:t>
            </w:r>
            <w:r w:rsidRPr="00E16CCD">
              <w:rPr>
                <w:rFonts w:ascii="Arial" w:eastAsia="Arial" w:hAnsi="Arial" w:cs="Arial"/>
                <w:bCs/>
                <w:color w:val="0E1318"/>
                <w:spacing w:val="-13"/>
                <w:w w:val="110"/>
                <w:sz w:val="20"/>
                <w:szCs w:val="20"/>
                <w:lang w:val="es-ES"/>
              </w:rPr>
              <w:t xml:space="preserve"> </w:t>
            </w:r>
            <w:r w:rsidRPr="00E16CCD">
              <w:rPr>
                <w:rFonts w:ascii="Arial" w:eastAsia="Arial" w:hAnsi="Arial" w:cs="Arial"/>
                <w:bCs/>
                <w:color w:val="0E1318"/>
                <w:w w:val="110"/>
                <w:sz w:val="20"/>
                <w:szCs w:val="20"/>
                <w:lang w:val="es-ES"/>
              </w:rPr>
              <w:t>a</w:t>
            </w:r>
            <w:r w:rsidRPr="00E16CCD">
              <w:rPr>
                <w:rFonts w:ascii="Arial" w:eastAsia="Arial" w:hAnsi="Arial" w:cs="Arial"/>
                <w:bCs/>
                <w:color w:val="0E1318"/>
                <w:spacing w:val="-12"/>
                <w:w w:val="110"/>
                <w:sz w:val="20"/>
                <w:szCs w:val="20"/>
                <w:lang w:val="es-ES"/>
              </w:rPr>
              <w:t xml:space="preserve"> </w:t>
            </w:r>
            <w:r w:rsidRPr="00E16CCD">
              <w:rPr>
                <w:rFonts w:ascii="Arial" w:eastAsia="Arial" w:hAnsi="Arial" w:cs="Arial"/>
                <w:bCs/>
                <w:color w:val="0E1318"/>
                <w:w w:val="110"/>
                <w:sz w:val="20"/>
                <w:szCs w:val="20"/>
                <w:lang w:val="es-ES"/>
              </w:rPr>
              <w:t>-3%</w:t>
            </w:r>
            <w:r w:rsidRPr="00E16CCD">
              <w:rPr>
                <w:rFonts w:ascii="Arial" w:eastAsia="Arial" w:hAnsi="Arial" w:cs="Arial"/>
                <w:bCs/>
                <w:color w:val="0E1318"/>
                <w:spacing w:val="-11"/>
                <w:w w:val="110"/>
                <w:sz w:val="20"/>
                <w:szCs w:val="20"/>
                <w:lang w:val="es-ES"/>
              </w:rPr>
              <w:t xml:space="preserve"> </w:t>
            </w:r>
            <w:r w:rsidRPr="00E16CCD">
              <w:rPr>
                <w:rFonts w:ascii="Arial" w:eastAsia="Arial" w:hAnsi="Arial" w:cs="Arial"/>
                <w:bCs/>
                <w:color w:val="0E1318"/>
                <w:w w:val="110"/>
                <w:sz w:val="20"/>
                <w:szCs w:val="20"/>
                <w:lang w:val="es-ES"/>
              </w:rPr>
              <w:t>(vs.</w:t>
            </w:r>
            <w:r w:rsidRPr="00E16CCD">
              <w:rPr>
                <w:rFonts w:ascii="Arial" w:eastAsia="Arial" w:hAnsi="Arial" w:cs="Arial"/>
                <w:bCs/>
                <w:color w:val="0E1318"/>
                <w:spacing w:val="-12"/>
                <w:w w:val="110"/>
                <w:sz w:val="20"/>
                <w:szCs w:val="20"/>
                <w:lang w:val="es-ES"/>
              </w:rPr>
              <w:t xml:space="preserve"> </w:t>
            </w:r>
            <w:r w:rsidRPr="00E16CCD">
              <w:rPr>
                <w:rFonts w:ascii="Arial" w:eastAsia="Arial" w:hAnsi="Arial" w:cs="Arial"/>
                <w:bCs/>
                <w:color w:val="0E1318"/>
                <w:w w:val="110"/>
                <w:sz w:val="20"/>
                <w:szCs w:val="20"/>
                <w:lang w:val="es-ES"/>
              </w:rPr>
              <w:t>+2%</w:t>
            </w:r>
            <w:r w:rsidRPr="00E16CCD">
              <w:rPr>
                <w:rFonts w:ascii="Arial" w:eastAsia="Arial" w:hAnsi="Arial" w:cs="Arial"/>
                <w:bCs/>
                <w:color w:val="0E1318"/>
                <w:spacing w:val="-11"/>
                <w:w w:val="110"/>
                <w:sz w:val="20"/>
                <w:szCs w:val="20"/>
                <w:lang w:val="es-ES"/>
              </w:rPr>
              <w:t xml:space="preserve"> </w:t>
            </w:r>
            <w:r w:rsidRPr="00E16CCD">
              <w:rPr>
                <w:rFonts w:ascii="Arial" w:eastAsia="Arial" w:hAnsi="Arial" w:cs="Arial"/>
                <w:bCs/>
                <w:color w:val="0E1318"/>
                <w:w w:val="110"/>
                <w:sz w:val="20"/>
                <w:szCs w:val="20"/>
                <w:lang w:val="es-ES"/>
              </w:rPr>
              <w:t xml:space="preserve">proyectado </w:t>
            </w:r>
            <w:r w:rsidRPr="00E16CCD">
              <w:rPr>
                <w:rFonts w:ascii="Arial" w:eastAsia="Arial" w:hAnsi="Arial" w:cs="Arial"/>
                <w:bCs/>
                <w:color w:val="0E1318"/>
                <w:w w:val="115"/>
                <w:sz w:val="20"/>
                <w:szCs w:val="20"/>
                <w:lang w:val="es-ES"/>
              </w:rPr>
              <w:t>sin</w:t>
            </w:r>
            <w:r w:rsidRPr="00E16CCD">
              <w:rPr>
                <w:rFonts w:ascii="Arial" w:eastAsia="Arial" w:hAnsi="Arial" w:cs="Arial"/>
                <w:bCs/>
                <w:color w:val="0E1318"/>
                <w:spacing w:val="-14"/>
                <w:w w:val="115"/>
                <w:sz w:val="20"/>
                <w:szCs w:val="20"/>
                <w:lang w:val="es-ES"/>
              </w:rPr>
              <w:t xml:space="preserve"> </w:t>
            </w:r>
            <w:r w:rsidRPr="00E16CCD">
              <w:rPr>
                <w:rFonts w:ascii="Arial" w:eastAsia="Arial" w:hAnsi="Arial" w:cs="Arial"/>
                <w:bCs/>
                <w:color w:val="0E1318"/>
                <w:w w:val="115"/>
                <w:sz w:val="20"/>
                <w:szCs w:val="20"/>
                <w:lang w:val="es-ES"/>
              </w:rPr>
              <w:t>sequía)</w:t>
            </w:r>
          </w:p>
        </w:tc>
      </w:tr>
      <w:tr w:rsidR="00E16CCD" w:rsidRPr="00E16CCD" w14:paraId="0E1CD03A" w14:textId="77777777" w:rsidTr="00E16CCD">
        <w:trPr>
          <w:trHeight w:val="20"/>
        </w:trPr>
        <w:tc>
          <w:tcPr>
            <w:tcW w:w="2449" w:type="pct"/>
          </w:tcPr>
          <w:p w14:paraId="11883CB8" w14:textId="51C95FBB" w:rsidR="00E16CCD" w:rsidRPr="00E16CCD" w:rsidRDefault="00E16CCD" w:rsidP="00E50DB4">
            <w:pPr>
              <w:spacing w:line="0" w:lineRule="atLeast"/>
              <w:rPr>
                <w:rFonts w:ascii="Arial" w:eastAsia="Arial" w:hAnsi="Arial" w:cs="Arial"/>
                <w:bCs/>
                <w:sz w:val="20"/>
                <w:szCs w:val="20"/>
                <w:lang w:val="es-ES"/>
              </w:rPr>
            </w:pPr>
            <w:r w:rsidRPr="00E16CCD">
              <w:rPr>
                <w:rFonts w:ascii="Arial" w:eastAsia="Arial" w:hAnsi="Arial" w:cs="Arial"/>
                <w:bCs/>
                <w:color w:val="0E1318"/>
                <w:w w:val="105"/>
                <w:sz w:val="20"/>
                <w:szCs w:val="20"/>
                <w:lang w:val="es-ES"/>
              </w:rPr>
              <w:t>Pérdida</w:t>
            </w:r>
            <w:r w:rsidRPr="00E16CCD">
              <w:rPr>
                <w:rFonts w:ascii="Arial" w:eastAsia="Arial" w:hAnsi="Arial" w:cs="Arial"/>
                <w:bCs/>
                <w:color w:val="0E1318"/>
                <w:spacing w:val="-11"/>
                <w:w w:val="105"/>
                <w:sz w:val="20"/>
                <w:szCs w:val="20"/>
                <w:lang w:val="es-ES"/>
              </w:rPr>
              <w:t xml:space="preserve"> </w:t>
            </w:r>
            <w:r w:rsidRPr="00E16CCD">
              <w:rPr>
                <w:rFonts w:ascii="Arial" w:eastAsia="Arial" w:hAnsi="Arial" w:cs="Arial"/>
                <w:bCs/>
                <w:color w:val="0E1318"/>
                <w:w w:val="105"/>
                <w:sz w:val="20"/>
                <w:szCs w:val="20"/>
                <w:lang w:val="es-ES"/>
              </w:rPr>
              <w:t>en</w:t>
            </w:r>
            <w:r w:rsidRPr="00E16CCD">
              <w:rPr>
                <w:rFonts w:ascii="Arial" w:eastAsia="Arial" w:hAnsi="Arial" w:cs="Arial"/>
                <w:bCs/>
                <w:color w:val="0E1318"/>
                <w:spacing w:val="-11"/>
                <w:w w:val="105"/>
                <w:sz w:val="20"/>
                <w:szCs w:val="20"/>
                <w:lang w:val="es-ES"/>
              </w:rPr>
              <w:t xml:space="preserve"> </w:t>
            </w:r>
            <w:r w:rsidRPr="00E16CCD">
              <w:rPr>
                <w:rFonts w:ascii="Arial" w:eastAsia="Arial" w:hAnsi="Arial" w:cs="Arial"/>
                <w:bCs/>
                <w:color w:val="0E1318"/>
                <w:w w:val="105"/>
                <w:sz w:val="20"/>
                <w:szCs w:val="20"/>
                <w:lang w:val="es-ES"/>
              </w:rPr>
              <w:t>cosecha</w:t>
            </w:r>
            <w:r w:rsidRPr="00E16CCD">
              <w:rPr>
                <w:rFonts w:ascii="Arial" w:eastAsia="Arial" w:hAnsi="Arial" w:cs="Arial"/>
                <w:bCs/>
                <w:color w:val="0E1318"/>
                <w:spacing w:val="-10"/>
                <w:w w:val="105"/>
                <w:sz w:val="20"/>
                <w:szCs w:val="20"/>
                <w:lang w:val="es-ES"/>
              </w:rPr>
              <w:t xml:space="preserve"> </w:t>
            </w:r>
            <w:r w:rsidRPr="00E16CCD">
              <w:rPr>
                <w:rFonts w:ascii="Arial" w:eastAsia="Arial" w:hAnsi="Arial" w:cs="Arial"/>
                <w:bCs/>
                <w:color w:val="0E1318"/>
                <w:w w:val="105"/>
                <w:sz w:val="20"/>
                <w:szCs w:val="20"/>
                <w:lang w:val="es-ES"/>
              </w:rPr>
              <w:t>gruesa</w:t>
            </w:r>
            <w:r w:rsidRPr="00E16CCD">
              <w:rPr>
                <w:rFonts w:ascii="Arial" w:eastAsia="Arial" w:hAnsi="Arial" w:cs="Arial"/>
                <w:bCs/>
                <w:color w:val="0E1318"/>
                <w:spacing w:val="-11"/>
                <w:w w:val="105"/>
                <w:sz w:val="20"/>
                <w:szCs w:val="20"/>
                <w:lang w:val="es-ES"/>
              </w:rPr>
              <w:t xml:space="preserve"> </w:t>
            </w:r>
            <w:r w:rsidRPr="00E16CCD">
              <w:rPr>
                <w:rFonts w:ascii="Arial" w:eastAsia="Arial" w:hAnsi="Arial" w:cs="Arial"/>
                <w:bCs/>
                <w:color w:val="0E1318"/>
                <w:spacing w:val="-4"/>
                <w:w w:val="105"/>
                <w:sz w:val="20"/>
                <w:szCs w:val="20"/>
                <w:lang w:val="es-ES"/>
              </w:rPr>
              <w:t>(soja</w:t>
            </w:r>
            <w:r>
              <w:rPr>
                <w:rFonts w:ascii="Arial" w:eastAsia="Arial" w:hAnsi="Arial" w:cs="Arial"/>
                <w:bCs/>
                <w:color w:val="0E1318"/>
                <w:spacing w:val="-4"/>
                <w:w w:val="105"/>
                <w:sz w:val="20"/>
                <w:szCs w:val="20"/>
                <w:lang w:val="es-ES"/>
              </w:rPr>
              <w:t xml:space="preserve"> </w:t>
            </w:r>
            <w:r w:rsidRPr="00E16CCD">
              <w:rPr>
                <w:rFonts w:ascii="Arial" w:eastAsia="Arial" w:hAnsi="Arial" w:cs="Arial"/>
                <w:bCs/>
                <w:color w:val="0E1318"/>
                <w:w w:val="110"/>
                <w:sz w:val="20"/>
                <w:szCs w:val="20"/>
                <w:lang w:val="es-ES"/>
              </w:rPr>
              <w:t>+</w:t>
            </w:r>
            <w:r w:rsidRPr="00E16CCD">
              <w:rPr>
                <w:rFonts w:ascii="Arial" w:eastAsia="Arial" w:hAnsi="Arial" w:cs="Arial"/>
                <w:bCs/>
                <w:color w:val="0E1318"/>
                <w:spacing w:val="-12"/>
                <w:w w:val="110"/>
                <w:sz w:val="20"/>
                <w:szCs w:val="20"/>
                <w:lang w:val="es-ES"/>
              </w:rPr>
              <w:t xml:space="preserve"> </w:t>
            </w:r>
            <w:r w:rsidRPr="00E16CCD">
              <w:rPr>
                <w:rFonts w:ascii="Arial" w:eastAsia="Arial" w:hAnsi="Arial" w:cs="Arial"/>
                <w:bCs/>
                <w:color w:val="0E1318"/>
                <w:spacing w:val="-2"/>
                <w:w w:val="110"/>
                <w:sz w:val="20"/>
                <w:szCs w:val="20"/>
                <w:lang w:val="es-ES"/>
              </w:rPr>
              <w:t>maíz)</w:t>
            </w:r>
          </w:p>
        </w:tc>
        <w:tc>
          <w:tcPr>
            <w:tcW w:w="2551" w:type="pct"/>
          </w:tcPr>
          <w:p w14:paraId="106739B2" w14:textId="77777777" w:rsidR="00E16CCD" w:rsidRPr="00E16CCD" w:rsidRDefault="00E16CCD" w:rsidP="00E50DB4">
            <w:pPr>
              <w:spacing w:line="0" w:lineRule="atLeast"/>
              <w:rPr>
                <w:rFonts w:ascii="Arial" w:eastAsia="Arial" w:hAnsi="Arial" w:cs="Arial"/>
                <w:bCs/>
                <w:sz w:val="20"/>
                <w:szCs w:val="20"/>
                <w:lang w:val="es-ES"/>
              </w:rPr>
            </w:pPr>
            <w:r w:rsidRPr="00E16CCD">
              <w:rPr>
                <w:rFonts w:ascii="Arial" w:eastAsia="Arial" w:hAnsi="Arial" w:cs="Arial"/>
                <w:bCs/>
                <w:color w:val="0E1318"/>
                <w:sz w:val="20"/>
                <w:szCs w:val="20"/>
                <w:lang w:val="es-ES"/>
              </w:rPr>
              <w:t>-55</w:t>
            </w:r>
            <w:r w:rsidRPr="00E16CCD">
              <w:rPr>
                <w:rFonts w:ascii="Arial" w:eastAsia="Arial" w:hAnsi="Arial" w:cs="Arial"/>
                <w:bCs/>
                <w:color w:val="0E1318"/>
                <w:spacing w:val="24"/>
                <w:sz w:val="20"/>
                <w:szCs w:val="20"/>
                <w:lang w:val="es-ES"/>
              </w:rPr>
              <w:t xml:space="preserve"> </w:t>
            </w:r>
            <w:r w:rsidRPr="00E16CCD">
              <w:rPr>
                <w:rFonts w:ascii="Arial" w:eastAsia="Arial" w:hAnsi="Arial" w:cs="Arial"/>
                <w:bCs/>
                <w:color w:val="0E1318"/>
                <w:sz w:val="20"/>
                <w:szCs w:val="20"/>
                <w:lang w:val="es-ES"/>
              </w:rPr>
              <w:t>millones</w:t>
            </w:r>
            <w:r w:rsidRPr="00E16CCD">
              <w:rPr>
                <w:rFonts w:ascii="Arial" w:eastAsia="Arial" w:hAnsi="Arial" w:cs="Arial"/>
                <w:bCs/>
                <w:color w:val="0E1318"/>
                <w:spacing w:val="25"/>
                <w:sz w:val="20"/>
                <w:szCs w:val="20"/>
                <w:lang w:val="es-ES"/>
              </w:rPr>
              <w:t xml:space="preserve"> </w:t>
            </w:r>
            <w:r w:rsidRPr="00E16CCD">
              <w:rPr>
                <w:rFonts w:ascii="Arial" w:eastAsia="Arial" w:hAnsi="Arial" w:cs="Arial"/>
                <w:bCs/>
                <w:color w:val="0E1318"/>
                <w:sz w:val="20"/>
                <w:szCs w:val="20"/>
                <w:lang w:val="es-ES"/>
              </w:rPr>
              <w:t>de</w:t>
            </w:r>
            <w:r w:rsidRPr="00E16CCD">
              <w:rPr>
                <w:rFonts w:ascii="Arial" w:eastAsia="Arial" w:hAnsi="Arial" w:cs="Arial"/>
                <w:bCs/>
                <w:color w:val="0E1318"/>
                <w:spacing w:val="24"/>
                <w:sz w:val="20"/>
                <w:szCs w:val="20"/>
                <w:lang w:val="es-ES"/>
              </w:rPr>
              <w:t xml:space="preserve"> </w:t>
            </w:r>
            <w:r w:rsidRPr="00E16CCD">
              <w:rPr>
                <w:rFonts w:ascii="Arial" w:eastAsia="Arial" w:hAnsi="Arial" w:cs="Arial"/>
                <w:bCs/>
                <w:color w:val="0E1318"/>
                <w:spacing w:val="-2"/>
                <w:sz w:val="20"/>
                <w:szCs w:val="20"/>
                <w:lang w:val="es-ES"/>
              </w:rPr>
              <w:t>toneladas</w:t>
            </w:r>
          </w:p>
        </w:tc>
      </w:tr>
      <w:tr w:rsidR="00E16CCD" w:rsidRPr="00E16CCD" w14:paraId="317ACA47" w14:textId="77777777" w:rsidTr="00E16CCD">
        <w:trPr>
          <w:trHeight w:val="20"/>
        </w:trPr>
        <w:tc>
          <w:tcPr>
            <w:tcW w:w="2449" w:type="pct"/>
          </w:tcPr>
          <w:p w14:paraId="026CEB8F" w14:textId="77777777" w:rsidR="00E16CCD" w:rsidRPr="00E16CCD" w:rsidRDefault="00E16CCD" w:rsidP="00E50DB4">
            <w:pPr>
              <w:spacing w:line="0" w:lineRule="atLeast"/>
              <w:rPr>
                <w:rFonts w:ascii="Arial" w:eastAsia="Arial" w:hAnsi="Arial" w:cs="Arial"/>
                <w:bCs/>
                <w:sz w:val="20"/>
                <w:szCs w:val="20"/>
                <w:lang w:val="es-ES"/>
              </w:rPr>
            </w:pPr>
            <w:r w:rsidRPr="00E16CCD">
              <w:rPr>
                <w:rFonts w:ascii="Arial" w:eastAsia="Arial" w:hAnsi="Arial" w:cs="Arial"/>
                <w:bCs/>
                <w:color w:val="0E1318"/>
                <w:sz w:val="20"/>
                <w:szCs w:val="20"/>
                <w:lang w:val="es-ES"/>
              </w:rPr>
              <w:t xml:space="preserve">Impacto fiscal (menos </w:t>
            </w:r>
            <w:r w:rsidRPr="00E16CCD">
              <w:rPr>
                <w:rFonts w:ascii="Arial" w:eastAsia="Arial" w:hAnsi="Arial" w:cs="Arial"/>
                <w:bCs/>
                <w:color w:val="0E1318"/>
                <w:spacing w:val="-2"/>
                <w:w w:val="110"/>
                <w:sz w:val="20"/>
                <w:szCs w:val="20"/>
                <w:lang w:val="es-ES"/>
              </w:rPr>
              <w:t>retenciones)</w:t>
            </w:r>
          </w:p>
        </w:tc>
        <w:tc>
          <w:tcPr>
            <w:tcW w:w="2551" w:type="pct"/>
          </w:tcPr>
          <w:p w14:paraId="2D5E47EC" w14:textId="77777777" w:rsidR="00E16CCD" w:rsidRPr="00E16CCD" w:rsidRDefault="00E16CCD" w:rsidP="00E50DB4">
            <w:pPr>
              <w:spacing w:line="0" w:lineRule="atLeast"/>
              <w:rPr>
                <w:rFonts w:ascii="Arial" w:eastAsia="Arial" w:hAnsi="Arial" w:cs="Arial"/>
                <w:bCs/>
                <w:sz w:val="20"/>
                <w:szCs w:val="20"/>
                <w:lang w:val="es-ES"/>
              </w:rPr>
            </w:pPr>
            <w:r w:rsidRPr="00E16CCD">
              <w:rPr>
                <w:rFonts w:ascii="Arial" w:eastAsia="Arial" w:hAnsi="Arial" w:cs="Arial"/>
                <w:bCs/>
                <w:color w:val="0E1318"/>
                <w:w w:val="110"/>
                <w:sz w:val="20"/>
                <w:szCs w:val="20"/>
                <w:lang w:val="es-ES"/>
              </w:rPr>
              <w:t>US$</w:t>
            </w:r>
            <w:r w:rsidRPr="00E16CCD">
              <w:rPr>
                <w:rFonts w:ascii="Arial" w:eastAsia="Arial" w:hAnsi="Arial" w:cs="Arial"/>
                <w:bCs/>
                <w:color w:val="0E1318"/>
                <w:spacing w:val="10"/>
                <w:w w:val="110"/>
                <w:sz w:val="20"/>
                <w:szCs w:val="20"/>
                <w:lang w:val="es-ES"/>
              </w:rPr>
              <w:t xml:space="preserve"> </w:t>
            </w:r>
            <w:r w:rsidRPr="00E16CCD">
              <w:rPr>
                <w:rFonts w:ascii="Arial" w:eastAsia="Arial" w:hAnsi="Arial" w:cs="Arial"/>
                <w:bCs/>
                <w:color w:val="0E1318"/>
                <w:w w:val="110"/>
                <w:sz w:val="20"/>
                <w:szCs w:val="20"/>
                <w:lang w:val="es-ES"/>
              </w:rPr>
              <w:t>5.800</w:t>
            </w:r>
            <w:r w:rsidRPr="00E16CCD">
              <w:rPr>
                <w:rFonts w:ascii="Arial" w:eastAsia="Arial" w:hAnsi="Arial" w:cs="Arial"/>
                <w:bCs/>
                <w:color w:val="0E1318"/>
                <w:spacing w:val="11"/>
                <w:w w:val="110"/>
                <w:sz w:val="20"/>
                <w:szCs w:val="20"/>
                <w:lang w:val="es-ES"/>
              </w:rPr>
              <w:t xml:space="preserve"> </w:t>
            </w:r>
            <w:r w:rsidRPr="00E16CCD">
              <w:rPr>
                <w:rFonts w:ascii="Arial" w:eastAsia="Arial" w:hAnsi="Arial" w:cs="Arial"/>
                <w:bCs/>
                <w:color w:val="0E1318"/>
                <w:spacing w:val="-2"/>
                <w:w w:val="110"/>
                <w:sz w:val="20"/>
                <w:szCs w:val="20"/>
                <w:lang w:val="es-ES"/>
              </w:rPr>
              <w:t>millones</w:t>
            </w:r>
          </w:p>
        </w:tc>
      </w:tr>
      <w:tr w:rsidR="00E16CCD" w:rsidRPr="00E16CCD" w14:paraId="324F22EA" w14:textId="77777777" w:rsidTr="00E16CCD">
        <w:trPr>
          <w:trHeight w:val="20"/>
        </w:trPr>
        <w:tc>
          <w:tcPr>
            <w:tcW w:w="2449" w:type="pct"/>
          </w:tcPr>
          <w:p w14:paraId="4EAEC5A2" w14:textId="77777777" w:rsidR="00E16CCD" w:rsidRPr="00E16CCD" w:rsidRDefault="00E16CCD" w:rsidP="00E50DB4">
            <w:pPr>
              <w:spacing w:line="0" w:lineRule="atLeast"/>
              <w:rPr>
                <w:rFonts w:ascii="Arial" w:eastAsia="Arial" w:hAnsi="Arial" w:cs="Arial"/>
                <w:bCs/>
                <w:sz w:val="20"/>
                <w:szCs w:val="20"/>
                <w:lang w:val="es-ES"/>
              </w:rPr>
            </w:pPr>
            <w:r w:rsidRPr="00E16CCD">
              <w:rPr>
                <w:rFonts w:ascii="Arial" w:eastAsia="Arial" w:hAnsi="Arial" w:cs="Arial"/>
                <w:bCs/>
                <w:color w:val="0E1318"/>
                <w:sz w:val="20"/>
                <w:szCs w:val="20"/>
                <w:lang w:val="es-ES"/>
              </w:rPr>
              <w:t xml:space="preserve">Aumento del déficit comercial </w:t>
            </w:r>
            <w:r w:rsidRPr="00E16CCD">
              <w:rPr>
                <w:rFonts w:ascii="Arial" w:eastAsia="Arial" w:hAnsi="Arial" w:cs="Arial"/>
                <w:bCs/>
                <w:color w:val="0E1318"/>
                <w:spacing w:val="-2"/>
                <w:w w:val="110"/>
                <w:sz w:val="20"/>
                <w:szCs w:val="20"/>
                <w:lang w:val="es-ES"/>
              </w:rPr>
              <w:t>energético</w:t>
            </w:r>
          </w:p>
        </w:tc>
        <w:tc>
          <w:tcPr>
            <w:tcW w:w="2551" w:type="pct"/>
          </w:tcPr>
          <w:p w14:paraId="42A93502" w14:textId="77777777" w:rsidR="00E16CCD" w:rsidRPr="00E16CCD" w:rsidRDefault="00E16CCD" w:rsidP="00E50DB4">
            <w:pPr>
              <w:spacing w:line="0" w:lineRule="atLeast"/>
              <w:rPr>
                <w:rFonts w:ascii="Arial" w:eastAsia="Arial" w:hAnsi="Arial" w:cs="Arial"/>
                <w:bCs/>
                <w:sz w:val="20"/>
                <w:szCs w:val="20"/>
                <w:lang w:val="es-ES"/>
              </w:rPr>
            </w:pPr>
            <w:r w:rsidRPr="00E16CCD">
              <w:rPr>
                <w:rFonts w:ascii="Arial" w:eastAsia="Arial" w:hAnsi="Arial" w:cs="Arial"/>
                <w:bCs/>
                <w:color w:val="0E1318"/>
                <w:w w:val="110"/>
                <w:sz w:val="20"/>
                <w:szCs w:val="20"/>
                <w:lang w:val="es-ES"/>
              </w:rPr>
              <w:t>+US$</w:t>
            </w:r>
            <w:r w:rsidRPr="00E16CCD">
              <w:rPr>
                <w:rFonts w:ascii="Arial" w:eastAsia="Arial" w:hAnsi="Arial" w:cs="Arial"/>
                <w:bCs/>
                <w:color w:val="0E1318"/>
                <w:spacing w:val="12"/>
                <w:w w:val="110"/>
                <w:sz w:val="20"/>
                <w:szCs w:val="20"/>
                <w:lang w:val="es-ES"/>
              </w:rPr>
              <w:t xml:space="preserve"> </w:t>
            </w:r>
            <w:r w:rsidRPr="00E16CCD">
              <w:rPr>
                <w:rFonts w:ascii="Arial" w:eastAsia="Arial" w:hAnsi="Arial" w:cs="Arial"/>
                <w:bCs/>
                <w:color w:val="0E1318"/>
                <w:w w:val="110"/>
                <w:sz w:val="20"/>
                <w:szCs w:val="20"/>
                <w:lang w:val="es-ES"/>
              </w:rPr>
              <w:t>4.200</w:t>
            </w:r>
            <w:r w:rsidRPr="00E16CCD">
              <w:rPr>
                <w:rFonts w:ascii="Arial" w:eastAsia="Arial" w:hAnsi="Arial" w:cs="Arial"/>
                <w:bCs/>
                <w:color w:val="0E1318"/>
                <w:spacing w:val="12"/>
                <w:w w:val="110"/>
                <w:sz w:val="20"/>
                <w:szCs w:val="20"/>
                <w:lang w:val="es-ES"/>
              </w:rPr>
              <w:t xml:space="preserve"> </w:t>
            </w:r>
            <w:r w:rsidRPr="00E16CCD">
              <w:rPr>
                <w:rFonts w:ascii="Arial" w:eastAsia="Arial" w:hAnsi="Arial" w:cs="Arial"/>
                <w:bCs/>
                <w:color w:val="0E1318"/>
                <w:spacing w:val="-2"/>
                <w:w w:val="110"/>
                <w:sz w:val="20"/>
                <w:szCs w:val="20"/>
                <w:lang w:val="es-ES"/>
              </w:rPr>
              <w:t>millones</w:t>
            </w:r>
          </w:p>
        </w:tc>
      </w:tr>
    </w:tbl>
    <w:p w14:paraId="6AACDBE4" w14:textId="77777777" w:rsidR="005C2AF7" w:rsidRDefault="005C2AF7" w:rsidP="00E50DB4">
      <w:pPr>
        <w:spacing w:after="0"/>
        <w:jc w:val="both"/>
      </w:pPr>
    </w:p>
    <w:p w14:paraId="3E3E56D7" w14:textId="200493F5" w:rsidR="002E339E" w:rsidRDefault="002E339E" w:rsidP="00E50DB4">
      <w:pPr>
        <w:spacing w:after="0"/>
        <w:jc w:val="both"/>
      </w:pPr>
      <w:r>
        <w:t>Algunos impactos de la sequía:</w:t>
      </w:r>
    </w:p>
    <w:p w14:paraId="402D5440" w14:textId="77777777" w:rsidR="005C2AF7" w:rsidRDefault="005C2AF7" w:rsidP="00E50DB4">
      <w:pPr>
        <w:spacing w:after="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0"/>
        <w:gridCol w:w="7018"/>
      </w:tblGrid>
      <w:tr w:rsidR="002E339E" w:rsidRPr="002E339E" w14:paraId="2080CE13" w14:textId="77777777" w:rsidTr="005C2AF7">
        <w:trPr>
          <w:trHeight w:val="324"/>
        </w:trPr>
        <w:tc>
          <w:tcPr>
            <w:tcW w:w="1246" w:type="pct"/>
            <w:noWrap/>
            <w:vAlign w:val="bottom"/>
            <w:hideMark/>
          </w:tcPr>
          <w:p w14:paraId="28B86291" w14:textId="77777777" w:rsidR="002E339E" w:rsidRPr="005C2AF7" w:rsidRDefault="002E339E" w:rsidP="00E50DB4">
            <w:pPr>
              <w:spacing w:after="0"/>
              <w:jc w:val="center"/>
              <w:rPr>
                <w:rFonts w:eastAsia="Times New Roman" w:cs="Arial"/>
                <w:b/>
                <w:bCs/>
                <w:color w:val="000000"/>
                <w:kern w:val="0"/>
                <w:sz w:val="20"/>
                <w:szCs w:val="20"/>
                <w:lang w:eastAsia="es-AR"/>
                <w14:ligatures w14:val="none"/>
              </w:rPr>
            </w:pPr>
            <w:r w:rsidRPr="002E339E">
              <w:rPr>
                <w:rFonts w:eastAsia="Times New Roman" w:cs="Arial"/>
                <w:b/>
                <w:bCs/>
                <w:color w:val="000000"/>
                <w:kern w:val="0"/>
                <w:sz w:val="20"/>
                <w:szCs w:val="20"/>
                <w:lang w:eastAsia="es-AR"/>
                <w14:ligatures w14:val="none"/>
              </w:rPr>
              <w:t>Variable</w:t>
            </w:r>
          </w:p>
          <w:p w14:paraId="348A2314" w14:textId="77777777" w:rsidR="002E339E" w:rsidRPr="002E339E" w:rsidRDefault="002E339E" w:rsidP="00E50DB4">
            <w:pPr>
              <w:spacing w:after="0"/>
              <w:rPr>
                <w:rFonts w:ascii="Aptos Narrow" w:eastAsia="Times New Roman" w:hAnsi="Aptos Narrow" w:cs="Times New Roman"/>
                <w:color w:val="000000"/>
                <w:kern w:val="0"/>
                <w:sz w:val="20"/>
                <w:szCs w:val="20"/>
                <w:lang w:val="es-ES" w:eastAsia="es-AR"/>
                <w14:ligatures w14:val="none"/>
              </w:rPr>
            </w:pPr>
          </w:p>
        </w:tc>
        <w:tc>
          <w:tcPr>
            <w:tcW w:w="3754" w:type="pct"/>
            <w:vAlign w:val="center"/>
            <w:hideMark/>
          </w:tcPr>
          <w:p w14:paraId="32707D39" w14:textId="77777777" w:rsidR="002E339E" w:rsidRPr="002E339E" w:rsidRDefault="002E339E" w:rsidP="00E50DB4">
            <w:pPr>
              <w:spacing w:after="0"/>
              <w:jc w:val="center"/>
              <w:rPr>
                <w:rFonts w:eastAsia="Times New Roman" w:cs="Arial"/>
                <w:b/>
                <w:bCs/>
                <w:color w:val="000000"/>
                <w:kern w:val="0"/>
                <w:sz w:val="20"/>
                <w:szCs w:val="20"/>
                <w:lang w:eastAsia="es-AR"/>
                <w14:ligatures w14:val="none"/>
              </w:rPr>
            </w:pPr>
            <w:r w:rsidRPr="002E339E">
              <w:rPr>
                <w:rFonts w:eastAsia="Times New Roman" w:cs="Arial"/>
                <w:b/>
                <w:bCs/>
                <w:color w:val="000000"/>
                <w:kern w:val="0"/>
                <w:sz w:val="20"/>
                <w:szCs w:val="20"/>
                <w:lang w:val="es-ES" w:eastAsia="es-AR"/>
                <w14:ligatures w14:val="none"/>
              </w:rPr>
              <w:t>Efecto</w:t>
            </w:r>
          </w:p>
        </w:tc>
      </w:tr>
      <w:tr w:rsidR="002E339E" w:rsidRPr="002E339E" w14:paraId="2AC0D0C1" w14:textId="77777777" w:rsidTr="005C2AF7">
        <w:trPr>
          <w:trHeight w:val="20"/>
        </w:trPr>
        <w:tc>
          <w:tcPr>
            <w:tcW w:w="1246" w:type="pct"/>
            <w:vAlign w:val="center"/>
            <w:hideMark/>
          </w:tcPr>
          <w:p w14:paraId="086E64A1" w14:textId="77777777" w:rsidR="002E339E" w:rsidRPr="002E339E" w:rsidRDefault="002E339E" w:rsidP="00E50DB4">
            <w:pPr>
              <w:spacing w:after="0"/>
              <w:jc w:val="both"/>
              <w:rPr>
                <w:rFonts w:eastAsia="Times New Roman" w:cs="Arial"/>
                <w:color w:val="000000"/>
                <w:kern w:val="0"/>
                <w:sz w:val="20"/>
                <w:szCs w:val="20"/>
                <w:lang w:eastAsia="es-AR"/>
                <w14:ligatures w14:val="none"/>
              </w:rPr>
            </w:pPr>
            <w:r w:rsidRPr="002E339E">
              <w:rPr>
                <w:rFonts w:eastAsia="Times New Roman" w:cs="Arial"/>
                <w:color w:val="000000"/>
                <w:kern w:val="0"/>
                <w:sz w:val="20"/>
                <w:szCs w:val="20"/>
                <w:lang w:val="es-ES" w:eastAsia="es-AR"/>
                <w14:ligatures w14:val="none"/>
              </w:rPr>
              <w:t>Dólares</w:t>
            </w:r>
          </w:p>
        </w:tc>
        <w:tc>
          <w:tcPr>
            <w:tcW w:w="3754" w:type="pct"/>
            <w:vAlign w:val="center"/>
            <w:hideMark/>
          </w:tcPr>
          <w:p w14:paraId="0E173109" w14:textId="77777777" w:rsidR="002E339E" w:rsidRPr="002E339E" w:rsidRDefault="002E339E" w:rsidP="00E50DB4">
            <w:pPr>
              <w:spacing w:after="0"/>
              <w:jc w:val="both"/>
              <w:rPr>
                <w:rFonts w:eastAsia="Times New Roman" w:cs="Arial"/>
                <w:color w:val="000000"/>
                <w:kern w:val="0"/>
                <w:sz w:val="20"/>
                <w:szCs w:val="20"/>
                <w:lang w:eastAsia="es-AR"/>
                <w14:ligatures w14:val="none"/>
              </w:rPr>
            </w:pPr>
            <w:r w:rsidRPr="002E339E">
              <w:rPr>
                <w:rFonts w:eastAsia="Times New Roman" w:cs="Arial"/>
                <w:color w:val="000000"/>
                <w:kern w:val="0"/>
                <w:sz w:val="20"/>
                <w:szCs w:val="20"/>
                <w:lang w:val="es-ES" w:eastAsia="es-AR"/>
                <w14:ligatures w14:val="none"/>
              </w:rPr>
              <w:t>Menos ingreso de divisas → presión sobre reservas del BCRA</w:t>
            </w:r>
          </w:p>
        </w:tc>
      </w:tr>
      <w:tr w:rsidR="002E339E" w:rsidRPr="002E339E" w14:paraId="36B61C00" w14:textId="77777777" w:rsidTr="005C2AF7">
        <w:trPr>
          <w:trHeight w:val="20"/>
        </w:trPr>
        <w:tc>
          <w:tcPr>
            <w:tcW w:w="1246" w:type="pct"/>
            <w:vAlign w:val="center"/>
            <w:hideMark/>
          </w:tcPr>
          <w:p w14:paraId="42155594" w14:textId="77777777" w:rsidR="002E339E" w:rsidRPr="002E339E" w:rsidRDefault="002E339E" w:rsidP="00E50DB4">
            <w:pPr>
              <w:spacing w:after="0"/>
              <w:jc w:val="both"/>
              <w:rPr>
                <w:rFonts w:eastAsia="Times New Roman" w:cs="Arial"/>
                <w:color w:val="000000"/>
                <w:kern w:val="0"/>
                <w:sz w:val="20"/>
                <w:szCs w:val="20"/>
                <w:lang w:eastAsia="es-AR"/>
                <w14:ligatures w14:val="none"/>
              </w:rPr>
            </w:pPr>
            <w:r w:rsidRPr="002E339E">
              <w:rPr>
                <w:rFonts w:eastAsia="Times New Roman" w:cs="Arial"/>
                <w:color w:val="000000"/>
                <w:kern w:val="0"/>
                <w:sz w:val="20"/>
                <w:szCs w:val="20"/>
                <w:lang w:val="es-ES" w:eastAsia="es-AR"/>
                <w14:ligatures w14:val="none"/>
              </w:rPr>
              <w:t>Inflación</w:t>
            </w:r>
          </w:p>
        </w:tc>
        <w:tc>
          <w:tcPr>
            <w:tcW w:w="3754" w:type="pct"/>
            <w:vAlign w:val="center"/>
            <w:hideMark/>
          </w:tcPr>
          <w:p w14:paraId="4780E3F5" w14:textId="77777777" w:rsidR="002E339E" w:rsidRPr="002E339E" w:rsidRDefault="002E339E" w:rsidP="00E50DB4">
            <w:pPr>
              <w:spacing w:after="0"/>
              <w:jc w:val="both"/>
              <w:rPr>
                <w:rFonts w:eastAsia="Times New Roman" w:cs="Arial"/>
                <w:color w:val="000000"/>
                <w:kern w:val="0"/>
                <w:sz w:val="20"/>
                <w:szCs w:val="20"/>
                <w:lang w:eastAsia="es-AR"/>
                <w14:ligatures w14:val="none"/>
              </w:rPr>
            </w:pPr>
            <w:r w:rsidRPr="002E339E">
              <w:rPr>
                <w:rFonts w:eastAsia="Times New Roman" w:cs="Arial"/>
                <w:color w:val="000000"/>
                <w:kern w:val="0"/>
                <w:sz w:val="20"/>
                <w:szCs w:val="20"/>
                <w:lang w:val="es-ES" w:eastAsia="es-AR"/>
                <w14:ligatures w14:val="none"/>
              </w:rPr>
              <w:t xml:space="preserve">Alza en precios de alimentos (carne, lácteos, pan) → +2,5 </w:t>
            </w:r>
            <w:proofErr w:type="spellStart"/>
            <w:r w:rsidRPr="002E339E">
              <w:rPr>
                <w:rFonts w:eastAsia="Times New Roman" w:cs="Arial"/>
                <w:color w:val="000000"/>
                <w:kern w:val="0"/>
                <w:sz w:val="20"/>
                <w:szCs w:val="20"/>
                <w:lang w:val="es-ES" w:eastAsia="es-AR"/>
                <w14:ligatures w14:val="none"/>
              </w:rPr>
              <w:t>pp</w:t>
            </w:r>
            <w:proofErr w:type="spellEnd"/>
            <w:r w:rsidRPr="002E339E">
              <w:rPr>
                <w:rFonts w:eastAsia="Times New Roman" w:cs="Arial"/>
                <w:color w:val="000000"/>
                <w:kern w:val="0"/>
                <w:sz w:val="20"/>
                <w:szCs w:val="20"/>
                <w:lang w:val="es-ES" w:eastAsia="es-AR"/>
                <w14:ligatures w14:val="none"/>
              </w:rPr>
              <w:t xml:space="preserve"> en IPC</w:t>
            </w:r>
          </w:p>
        </w:tc>
      </w:tr>
      <w:tr w:rsidR="002E339E" w:rsidRPr="002E339E" w14:paraId="2C14695D" w14:textId="77777777" w:rsidTr="005C2AF7">
        <w:trPr>
          <w:trHeight w:val="20"/>
        </w:trPr>
        <w:tc>
          <w:tcPr>
            <w:tcW w:w="1246" w:type="pct"/>
            <w:vAlign w:val="center"/>
            <w:hideMark/>
          </w:tcPr>
          <w:p w14:paraId="035CF85B" w14:textId="77777777" w:rsidR="002E339E" w:rsidRPr="002E339E" w:rsidRDefault="002E339E" w:rsidP="00E50DB4">
            <w:pPr>
              <w:spacing w:after="0"/>
              <w:jc w:val="both"/>
              <w:rPr>
                <w:rFonts w:eastAsia="Times New Roman" w:cs="Arial"/>
                <w:color w:val="000000"/>
                <w:kern w:val="0"/>
                <w:sz w:val="20"/>
                <w:szCs w:val="20"/>
                <w:lang w:eastAsia="es-AR"/>
                <w14:ligatures w14:val="none"/>
              </w:rPr>
            </w:pPr>
            <w:r w:rsidRPr="002E339E">
              <w:rPr>
                <w:rFonts w:eastAsia="Times New Roman" w:cs="Arial"/>
                <w:color w:val="000000"/>
                <w:kern w:val="0"/>
                <w:sz w:val="20"/>
                <w:szCs w:val="20"/>
                <w:lang w:val="es-ES" w:eastAsia="es-AR"/>
                <w14:ligatures w14:val="none"/>
              </w:rPr>
              <w:t>Déficit fiscal</w:t>
            </w:r>
          </w:p>
        </w:tc>
        <w:tc>
          <w:tcPr>
            <w:tcW w:w="3754" w:type="pct"/>
            <w:vAlign w:val="center"/>
            <w:hideMark/>
          </w:tcPr>
          <w:p w14:paraId="20B0720F" w14:textId="77777777" w:rsidR="002E339E" w:rsidRPr="002E339E" w:rsidRDefault="002E339E" w:rsidP="00E50DB4">
            <w:pPr>
              <w:spacing w:after="0"/>
              <w:jc w:val="both"/>
              <w:rPr>
                <w:rFonts w:eastAsia="Times New Roman" w:cs="Arial"/>
                <w:color w:val="000000"/>
                <w:kern w:val="0"/>
                <w:sz w:val="20"/>
                <w:szCs w:val="20"/>
                <w:lang w:eastAsia="es-AR"/>
                <w14:ligatures w14:val="none"/>
              </w:rPr>
            </w:pPr>
            <w:r w:rsidRPr="002E339E">
              <w:rPr>
                <w:rFonts w:eastAsia="Times New Roman" w:cs="Arial"/>
                <w:color w:val="000000"/>
                <w:kern w:val="0"/>
                <w:sz w:val="20"/>
                <w:szCs w:val="20"/>
                <w:lang w:val="es-ES" w:eastAsia="es-AR"/>
                <w14:ligatures w14:val="none"/>
              </w:rPr>
              <w:t>Menos recaudación por retenciones → ajuste en obra pública</w:t>
            </w:r>
          </w:p>
        </w:tc>
      </w:tr>
      <w:tr w:rsidR="002E339E" w:rsidRPr="002E339E" w14:paraId="71FF35E3" w14:textId="77777777" w:rsidTr="005C2AF7">
        <w:trPr>
          <w:trHeight w:val="20"/>
        </w:trPr>
        <w:tc>
          <w:tcPr>
            <w:tcW w:w="1246" w:type="pct"/>
            <w:vAlign w:val="center"/>
            <w:hideMark/>
          </w:tcPr>
          <w:p w14:paraId="261AEC4E" w14:textId="77777777" w:rsidR="002E339E" w:rsidRPr="002E339E" w:rsidRDefault="002E339E" w:rsidP="00E50DB4">
            <w:pPr>
              <w:spacing w:after="0"/>
              <w:jc w:val="both"/>
              <w:rPr>
                <w:rFonts w:eastAsia="Times New Roman" w:cs="Arial"/>
                <w:color w:val="000000"/>
                <w:kern w:val="0"/>
                <w:sz w:val="20"/>
                <w:szCs w:val="20"/>
                <w:lang w:eastAsia="es-AR"/>
                <w14:ligatures w14:val="none"/>
              </w:rPr>
            </w:pPr>
            <w:r w:rsidRPr="002E339E">
              <w:rPr>
                <w:rFonts w:eastAsia="Times New Roman" w:cs="Arial"/>
                <w:color w:val="000000"/>
                <w:kern w:val="0"/>
                <w:sz w:val="20"/>
                <w:szCs w:val="20"/>
                <w:lang w:val="es-ES" w:eastAsia="es-AR"/>
                <w14:ligatures w14:val="none"/>
              </w:rPr>
              <w:t>Tipo de cambio</w:t>
            </w:r>
          </w:p>
        </w:tc>
        <w:tc>
          <w:tcPr>
            <w:tcW w:w="3754" w:type="pct"/>
            <w:vAlign w:val="center"/>
            <w:hideMark/>
          </w:tcPr>
          <w:p w14:paraId="71E825CE" w14:textId="77777777" w:rsidR="002E339E" w:rsidRPr="002E339E" w:rsidRDefault="002E339E" w:rsidP="00E50DB4">
            <w:pPr>
              <w:spacing w:after="0"/>
              <w:jc w:val="both"/>
              <w:rPr>
                <w:rFonts w:eastAsia="Times New Roman" w:cs="Arial"/>
                <w:color w:val="000000"/>
                <w:kern w:val="0"/>
                <w:sz w:val="20"/>
                <w:szCs w:val="20"/>
                <w:lang w:eastAsia="es-AR"/>
                <w14:ligatures w14:val="none"/>
              </w:rPr>
            </w:pPr>
            <w:r w:rsidRPr="002E339E">
              <w:rPr>
                <w:rFonts w:eastAsia="Times New Roman" w:cs="Arial"/>
                <w:color w:val="000000"/>
                <w:kern w:val="0"/>
                <w:sz w:val="20"/>
                <w:szCs w:val="20"/>
                <w:lang w:val="es-ES" w:eastAsia="es-AR"/>
                <w14:ligatures w14:val="none"/>
              </w:rPr>
              <w:t>Mayor brecha cambiaria (CCL/MEP) por escasez de dólares</w:t>
            </w:r>
          </w:p>
        </w:tc>
      </w:tr>
    </w:tbl>
    <w:p w14:paraId="4D391598" w14:textId="77777777" w:rsidR="00E50DB4" w:rsidRDefault="00E50DB4" w:rsidP="00E50DB4">
      <w:pPr>
        <w:spacing w:after="0"/>
        <w:jc w:val="both"/>
        <w:rPr>
          <w:lang w:val="es-ES"/>
        </w:rPr>
      </w:pPr>
    </w:p>
    <w:p w14:paraId="2B87CB39" w14:textId="7C89CAE1" w:rsidR="002E339E" w:rsidRPr="002E339E" w:rsidRDefault="005C2AF7" w:rsidP="00E50DB4">
      <w:pPr>
        <w:spacing w:after="0"/>
        <w:jc w:val="both"/>
        <w:rPr>
          <w:lang w:val="es-ES"/>
        </w:rPr>
      </w:pPr>
      <w:r w:rsidRPr="005C2AF7">
        <w:rPr>
          <w:lang w:val="es-ES"/>
        </w:rPr>
        <w:t>Detallamos algunas medidas del Gobierno en el período: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6774"/>
      </w:tblGrid>
      <w:tr w:rsidR="002E339E" w:rsidRPr="002E339E" w14:paraId="6A7BB707" w14:textId="77777777" w:rsidTr="00A31221">
        <w:trPr>
          <w:trHeight w:val="20"/>
        </w:trPr>
        <w:tc>
          <w:tcPr>
            <w:tcW w:w="1377" w:type="pct"/>
          </w:tcPr>
          <w:p w14:paraId="138C2413" w14:textId="77777777" w:rsidR="002E339E" w:rsidRPr="002E339E" w:rsidRDefault="002E339E" w:rsidP="00E50DB4">
            <w:pPr>
              <w:spacing w:after="0"/>
              <w:jc w:val="center"/>
              <w:rPr>
                <w:b/>
                <w:sz w:val="20"/>
                <w:szCs w:val="20"/>
                <w:lang w:val="es-ES"/>
              </w:rPr>
            </w:pPr>
            <w:r w:rsidRPr="002E339E">
              <w:rPr>
                <w:b/>
                <w:sz w:val="20"/>
                <w:szCs w:val="20"/>
                <w:lang w:val="es-ES"/>
              </w:rPr>
              <w:t>Medida</w:t>
            </w:r>
          </w:p>
        </w:tc>
        <w:tc>
          <w:tcPr>
            <w:tcW w:w="3623" w:type="pct"/>
          </w:tcPr>
          <w:p w14:paraId="0250A2A1" w14:textId="77777777" w:rsidR="002E339E" w:rsidRPr="002E339E" w:rsidRDefault="002E339E" w:rsidP="00E50DB4">
            <w:pPr>
              <w:spacing w:after="0"/>
              <w:jc w:val="center"/>
              <w:rPr>
                <w:b/>
                <w:sz w:val="20"/>
                <w:szCs w:val="20"/>
                <w:lang w:val="es-ES"/>
              </w:rPr>
            </w:pPr>
            <w:r w:rsidRPr="002E339E">
              <w:rPr>
                <w:b/>
                <w:sz w:val="20"/>
                <w:szCs w:val="20"/>
                <w:lang w:val="es-ES"/>
              </w:rPr>
              <w:t>Detalle</w:t>
            </w:r>
          </w:p>
        </w:tc>
      </w:tr>
      <w:tr w:rsidR="002E339E" w:rsidRPr="002E339E" w14:paraId="1399FA42" w14:textId="77777777" w:rsidTr="00A31221">
        <w:trPr>
          <w:trHeight w:val="20"/>
        </w:trPr>
        <w:tc>
          <w:tcPr>
            <w:tcW w:w="1377" w:type="pct"/>
          </w:tcPr>
          <w:p w14:paraId="27297EC2" w14:textId="77777777" w:rsidR="002E339E" w:rsidRPr="002E339E" w:rsidRDefault="002E339E" w:rsidP="00E50DB4">
            <w:pPr>
              <w:spacing w:after="0"/>
              <w:rPr>
                <w:bCs/>
                <w:sz w:val="20"/>
                <w:szCs w:val="20"/>
                <w:lang w:val="es-ES"/>
              </w:rPr>
            </w:pPr>
            <w:r w:rsidRPr="002E339E">
              <w:rPr>
                <w:bCs/>
                <w:sz w:val="20"/>
                <w:szCs w:val="20"/>
                <w:lang w:val="es-ES"/>
              </w:rPr>
              <w:t>Dólar Soja I (</w:t>
            </w:r>
            <w:proofErr w:type="spellStart"/>
            <w:r w:rsidRPr="002E339E">
              <w:rPr>
                <w:bCs/>
                <w:sz w:val="20"/>
                <w:szCs w:val="20"/>
                <w:lang w:val="es-ES"/>
              </w:rPr>
              <w:t>sep</w:t>
            </w:r>
            <w:proofErr w:type="spellEnd"/>
            <w:r w:rsidRPr="002E339E">
              <w:rPr>
                <w:bCs/>
                <w:sz w:val="20"/>
                <w:szCs w:val="20"/>
                <w:lang w:val="es-ES"/>
              </w:rPr>
              <w:t xml:space="preserve"> 2022)</w:t>
            </w:r>
          </w:p>
        </w:tc>
        <w:tc>
          <w:tcPr>
            <w:tcW w:w="3623" w:type="pct"/>
          </w:tcPr>
          <w:p w14:paraId="7DF0A294" w14:textId="77777777" w:rsidR="002E339E" w:rsidRPr="002E339E" w:rsidRDefault="002E339E" w:rsidP="00E50DB4">
            <w:pPr>
              <w:spacing w:after="0"/>
              <w:rPr>
                <w:bCs/>
                <w:sz w:val="20"/>
                <w:szCs w:val="20"/>
                <w:lang w:val="es-ES"/>
              </w:rPr>
            </w:pPr>
            <w:r w:rsidRPr="002E339E">
              <w:rPr>
                <w:bCs/>
                <w:sz w:val="20"/>
                <w:szCs w:val="20"/>
                <w:lang w:val="es-ES"/>
              </w:rPr>
              <w:t>Tipo de cambio $200 → liquidación US$ 5.100M</w:t>
            </w:r>
          </w:p>
        </w:tc>
      </w:tr>
      <w:tr w:rsidR="002E339E" w:rsidRPr="002E339E" w14:paraId="6443CE56" w14:textId="77777777" w:rsidTr="00A31221">
        <w:trPr>
          <w:trHeight w:val="20"/>
        </w:trPr>
        <w:tc>
          <w:tcPr>
            <w:tcW w:w="1377" w:type="pct"/>
          </w:tcPr>
          <w:p w14:paraId="15227E6F" w14:textId="5F40BD28" w:rsidR="002E339E" w:rsidRPr="002E339E" w:rsidRDefault="002E339E" w:rsidP="00E50DB4">
            <w:pPr>
              <w:spacing w:after="0"/>
              <w:rPr>
                <w:bCs/>
                <w:sz w:val="20"/>
                <w:szCs w:val="20"/>
                <w:lang w:val="es-ES"/>
              </w:rPr>
            </w:pPr>
            <w:r w:rsidRPr="002E339E">
              <w:rPr>
                <w:bCs/>
                <w:sz w:val="20"/>
                <w:szCs w:val="20"/>
                <w:lang w:val="es-ES"/>
              </w:rPr>
              <w:t>Dólar Soja II (nov 022)</w:t>
            </w:r>
          </w:p>
        </w:tc>
        <w:tc>
          <w:tcPr>
            <w:tcW w:w="3623" w:type="pct"/>
          </w:tcPr>
          <w:p w14:paraId="67593499" w14:textId="77777777" w:rsidR="002E339E" w:rsidRPr="002E339E" w:rsidRDefault="002E339E" w:rsidP="00E50DB4">
            <w:pPr>
              <w:spacing w:after="0"/>
              <w:rPr>
                <w:bCs/>
                <w:sz w:val="20"/>
                <w:szCs w:val="20"/>
                <w:lang w:val="es-ES"/>
              </w:rPr>
            </w:pPr>
            <w:r w:rsidRPr="002E339E">
              <w:rPr>
                <w:bCs/>
                <w:sz w:val="20"/>
                <w:szCs w:val="20"/>
                <w:lang w:val="es-ES"/>
              </w:rPr>
              <w:t xml:space="preserve">230 → + </w:t>
            </w:r>
            <w:r w:rsidRPr="002E339E">
              <w:rPr>
                <w:rFonts w:ascii="Cambria Math" w:hAnsi="Cambria Math" w:cs="Cambria Math"/>
                <w:bCs/>
                <w:sz w:val="20"/>
                <w:szCs w:val="20"/>
                <w:lang w:val="es-ES"/>
              </w:rPr>
              <w:t>𝑈𝑆</w:t>
            </w:r>
            <w:r w:rsidRPr="002E339E">
              <w:rPr>
                <w:bCs/>
                <w:sz w:val="20"/>
                <w:szCs w:val="20"/>
                <w:lang w:val="es-ES"/>
              </w:rPr>
              <w:t xml:space="preserve"> 3.100M</w:t>
            </w:r>
          </w:p>
        </w:tc>
      </w:tr>
      <w:tr w:rsidR="002E339E" w:rsidRPr="002E339E" w14:paraId="0459F334" w14:textId="77777777" w:rsidTr="00A31221">
        <w:trPr>
          <w:trHeight w:val="20"/>
        </w:trPr>
        <w:tc>
          <w:tcPr>
            <w:tcW w:w="1377" w:type="pct"/>
          </w:tcPr>
          <w:p w14:paraId="184FA3A5" w14:textId="567D7E61" w:rsidR="002E339E" w:rsidRPr="002E339E" w:rsidRDefault="002E339E" w:rsidP="00E50DB4">
            <w:pPr>
              <w:spacing w:after="0"/>
              <w:rPr>
                <w:bCs/>
                <w:sz w:val="20"/>
                <w:szCs w:val="20"/>
                <w:lang w:val="es-ES"/>
              </w:rPr>
            </w:pPr>
            <w:r w:rsidRPr="002E339E">
              <w:rPr>
                <w:bCs/>
                <w:sz w:val="20"/>
                <w:szCs w:val="20"/>
                <w:lang w:val="es-ES"/>
              </w:rPr>
              <w:t xml:space="preserve">Emergencia </w:t>
            </w:r>
            <w:r w:rsidR="005C2AF7" w:rsidRPr="005C2AF7">
              <w:rPr>
                <w:bCs/>
                <w:sz w:val="20"/>
                <w:szCs w:val="20"/>
                <w:lang w:val="es-ES"/>
              </w:rPr>
              <w:t>a</w:t>
            </w:r>
            <w:r w:rsidRPr="002E339E">
              <w:rPr>
                <w:bCs/>
                <w:sz w:val="20"/>
                <w:szCs w:val="20"/>
                <w:lang w:val="es-ES"/>
              </w:rPr>
              <w:t>gropecuaria</w:t>
            </w:r>
          </w:p>
        </w:tc>
        <w:tc>
          <w:tcPr>
            <w:tcW w:w="3623" w:type="pct"/>
          </w:tcPr>
          <w:p w14:paraId="4245A1B8" w14:textId="77777777" w:rsidR="002E339E" w:rsidRPr="002E339E" w:rsidRDefault="002E339E" w:rsidP="00E50DB4">
            <w:pPr>
              <w:spacing w:after="0"/>
              <w:rPr>
                <w:bCs/>
                <w:sz w:val="20"/>
                <w:szCs w:val="20"/>
                <w:lang w:val="es-ES"/>
              </w:rPr>
            </w:pPr>
            <w:r w:rsidRPr="002E339E">
              <w:rPr>
                <w:bCs/>
                <w:sz w:val="20"/>
                <w:szCs w:val="20"/>
                <w:lang w:val="es-ES"/>
              </w:rPr>
              <w:t>9 provincias declaradas → créditos blandos, suspensión de ejecuciones</w:t>
            </w:r>
          </w:p>
        </w:tc>
      </w:tr>
    </w:tbl>
    <w:p w14:paraId="09D3BFD3" w14:textId="77777777" w:rsidR="002E339E" w:rsidRDefault="002E339E" w:rsidP="00E50DB4">
      <w:pPr>
        <w:spacing w:after="0"/>
        <w:jc w:val="both"/>
        <w:rPr>
          <w:b/>
          <w:lang w:val="es-ES"/>
        </w:rPr>
      </w:pPr>
    </w:p>
    <w:p w14:paraId="104242AA" w14:textId="524A93D9" w:rsidR="00A31221" w:rsidRPr="00A31221" w:rsidRDefault="00A31221" w:rsidP="00E50DB4">
      <w:pPr>
        <w:spacing w:after="0"/>
        <w:jc w:val="both"/>
        <w:rPr>
          <w:bCs/>
          <w:lang w:val="es-ES"/>
        </w:rPr>
      </w:pPr>
      <w:r w:rsidRPr="00A31221">
        <w:rPr>
          <w:bCs/>
          <w:lang w:val="es-ES"/>
        </w:rPr>
        <w:t xml:space="preserve">En suma, </w:t>
      </w:r>
      <w:r>
        <w:rPr>
          <w:bCs/>
          <w:lang w:val="es-ES"/>
        </w:rPr>
        <w:t>l</w:t>
      </w:r>
      <w:r w:rsidRPr="00A31221">
        <w:rPr>
          <w:bCs/>
          <w:lang w:val="es-ES"/>
        </w:rPr>
        <w:t>a sequía 2022-2023 fue un shock externo comparable a una recesión global para Argentina.</w:t>
      </w:r>
      <w:r>
        <w:rPr>
          <w:bCs/>
          <w:lang w:val="es-ES"/>
        </w:rPr>
        <w:t xml:space="preserve"> </w:t>
      </w:r>
      <w:r w:rsidRPr="00A31221">
        <w:rPr>
          <w:bCs/>
          <w:lang w:val="es-ES"/>
        </w:rPr>
        <w:t>Perdió 1 de cada 3 dólares que esperaba ingresar y contrajo el PIB en 3 puntos. Sin ella, Argentina habría crecido ~2% en 2023 y tenido superávit comercial.</w:t>
      </w:r>
    </w:p>
    <w:p w14:paraId="3FEE0C00" w14:textId="77777777" w:rsidR="00E50DB4" w:rsidRDefault="00E50DB4" w:rsidP="00E50DB4">
      <w:pPr>
        <w:spacing w:after="0"/>
        <w:jc w:val="both"/>
        <w:rPr>
          <w:bCs/>
          <w:lang w:val="es-ES"/>
        </w:rPr>
      </w:pPr>
    </w:p>
    <w:p w14:paraId="0C779E94" w14:textId="038E6A02" w:rsidR="005350E9" w:rsidRDefault="00A31221" w:rsidP="00E50DB4">
      <w:pPr>
        <w:spacing w:after="0"/>
        <w:jc w:val="both"/>
        <w:rPr>
          <w:bCs/>
          <w:lang w:val="es-ES"/>
        </w:rPr>
      </w:pPr>
      <w:r>
        <w:rPr>
          <w:bCs/>
          <w:lang w:val="es-ES"/>
        </w:rPr>
        <w:t>Una l</w:t>
      </w:r>
      <w:r w:rsidRPr="00A31221">
        <w:rPr>
          <w:bCs/>
          <w:lang w:val="es-ES"/>
        </w:rPr>
        <w:t>ección clave: la vulnerabilidad estructural del modelo exportador primario ante eventos climáticos extremos.</w:t>
      </w:r>
    </w:p>
    <w:p w14:paraId="5419766A" w14:textId="77777777" w:rsidR="00A514EF" w:rsidRDefault="00A514EF" w:rsidP="005350E9">
      <w:pPr>
        <w:spacing w:after="0"/>
        <w:jc w:val="both"/>
        <w:rPr>
          <w:b/>
          <w:u w:val="single"/>
          <w:lang w:val="es-ES"/>
        </w:rPr>
      </w:pPr>
    </w:p>
    <w:p w14:paraId="64423A80" w14:textId="629DA03F" w:rsidR="006F7E0B" w:rsidRPr="00314BE9" w:rsidRDefault="00314BE9" w:rsidP="005350E9">
      <w:pPr>
        <w:spacing w:after="0"/>
        <w:jc w:val="both"/>
        <w:rPr>
          <w:b/>
          <w:u w:val="single"/>
          <w:lang w:val="es-ES"/>
        </w:rPr>
      </w:pPr>
      <w:r w:rsidRPr="00314BE9">
        <w:rPr>
          <w:b/>
          <w:u w:val="single"/>
          <w:lang w:val="es-ES"/>
        </w:rPr>
        <w:t>Actividades desarrolladas en el Ejercicio</w:t>
      </w:r>
    </w:p>
    <w:p w14:paraId="1BAF96E8" w14:textId="77777777" w:rsidR="006F7E0B" w:rsidRDefault="006F7E0B" w:rsidP="005350E9">
      <w:pPr>
        <w:spacing w:after="0"/>
        <w:jc w:val="both"/>
        <w:rPr>
          <w:bCs/>
          <w:lang w:val="es-ES"/>
        </w:rPr>
      </w:pPr>
    </w:p>
    <w:p w14:paraId="234C3C0F" w14:textId="5BCB274D" w:rsidR="005350E9" w:rsidRPr="00A514EF" w:rsidRDefault="005350E9" w:rsidP="005350E9">
      <w:pPr>
        <w:spacing w:after="0"/>
        <w:jc w:val="both"/>
        <w:rPr>
          <w:b/>
          <w:lang w:val="es-ES"/>
        </w:rPr>
      </w:pPr>
      <w:r w:rsidRPr="00A514EF">
        <w:rPr>
          <w:b/>
          <w:lang w:val="es-ES"/>
        </w:rPr>
        <w:t xml:space="preserve">10/06/2022 </w:t>
      </w:r>
    </w:p>
    <w:p w14:paraId="6D0D009C" w14:textId="77777777" w:rsidR="005350E9" w:rsidRPr="005350E9" w:rsidRDefault="005350E9" w:rsidP="005350E9">
      <w:pPr>
        <w:spacing w:after="0"/>
        <w:jc w:val="both"/>
        <w:rPr>
          <w:bCs/>
          <w:lang w:val="es-ES"/>
        </w:rPr>
      </w:pPr>
      <w:r w:rsidRPr="005350E9">
        <w:rPr>
          <w:bCs/>
          <w:lang w:val="es-ES"/>
        </w:rPr>
        <w:t xml:space="preserve">El día viernes 10 de junio, el presidente de la Unión Industrial del Oeste, Ing., Edgardo Gámbaro junto con el Rector de la Universidad de Morón, Dr. Héctor Norberto Porto </w:t>
      </w:r>
      <w:proofErr w:type="spellStart"/>
      <w:r w:rsidRPr="005350E9">
        <w:rPr>
          <w:bCs/>
          <w:lang w:val="es-ES"/>
        </w:rPr>
        <w:t>Lemma</w:t>
      </w:r>
      <w:proofErr w:type="spellEnd"/>
      <w:r w:rsidRPr="005350E9">
        <w:rPr>
          <w:bCs/>
          <w:lang w:val="es-ES"/>
        </w:rPr>
        <w:t xml:space="preserve">, y el </w:t>
      </w:r>
      <w:proofErr w:type="gramStart"/>
      <w:r w:rsidRPr="005350E9">
        <w:rPr>
          <w:bCs/>
          <w:lang w:val="es-ES"/>
        </w:rPr>
        <w:t>Secretario General</w:t>
      </w:r>
      <w:proofErr w:type="gramEnd"/>
      <w:r w:rsidRPr="005350E9">
        <w:rPr>
          <w:bCs/>
          <w:lang w:val="es-ES"/>
        </w:rPr>
        <w:t xml:space="preserve">, Dr. Pablo Navarro, quien además es </w:t>
      </w:r>
      <w:proofErr w:type="gramStart"/>
      <w:r w:rsidRPr="005350E9">
        <w:rPr>
          <w:bCs/>
          <w:lang w:val="es-ES"/>
        </w:rPr>
        <w:t>Presidente</w:t>
      </w:r>
      <w:proofErr w:type="gramEnd"/>
      <w:r w:rsidRPr="005350E9">
        <w:rPr>
          <w:bCs/>
          <w:lang w:val="es-ES"/>
        </w:rPr>
        <w:t xml:space="preserve"> del </w:t>
      </w:r>
      <w:r w:rsidRPr="005350E9">
        <w:rPr>
          <w:bCs/>
          <w:lang w:val="es-ES"/>
        </w:rPr>
        <w:lastRenderedPageBreak/>
        <w:t xml:space="preserve">Instituto de Desarrollo Empresarial Bonaerense en Morón (IDEB), recibieron, al Embajador de la República de Angola, D. </w:t>
      </w:r>
      <w:proofErr w:type="spellStart"/>
      <w:r w:rsidRPr="005350E9">
        <w:rPr>
          <w:bCs/>
          <w:lang w:val="es-ES"/>
        </w:rPr>
        <w:t>Fidelino</w:t>
      </w:r>
      <w:proofErr w:type="spellEnd"/>
      <w:r w:rsidRPr="005350E9">
        <w:rPr>
          <w:bCs/>
          <w:lang w:val="es-ES"/>
        </w:rPr>
        <w:t xml:space="preserve"> De Jesús Florentino </w:t>
      </w:r>
      <w:proofErr w:type="spellStart"/>
      <w:r w:rsidRPr="005350E9">
        <w:rPr>
          <w:bCs/>
          <w:lang w:val="es-ES"/>
        </w:rPr>
        <w:t>Peliganga</w:t>
      </w:r>
      <w:proofErr w:type="spellEnd"/>
      <w:r w:rsidRPr="005350E9">
        <w:rPr>
          <w:bCs/>
          <w:lang w:val="es-ES"/>
        </w:rPr>
        <w:t>. quienes le entregaron una distinción y agradecieron su visita.</w:t>
      </w:r>
    </w:p>
    <w:p w14:paraId="26DD4AFF" w14:textId="77777777" w:rsidR="005350E9" w:rsidRPr="005350E9" w:rsidRDefault="005350E9" w:rsidP="005350E9">
      <w:pPr>
        <w:spacing w:after="0"/>
        <w:jc w:val="both"/>
        <w:rPr>
          <w:bCs/>
          <w:lang w:val="es-ES"/>
        </w:rPr>
      </w:pPr>
    </w:p>
    <w:p w14:paraId="1292E8E3" w14:textId="77777777" w:rsidR="005350E9" w:rsidRPr="008673CC" w:rsidRDefault="005350E9" w:rsidP="005350E9">
      <w:pPr>
        <w:spacing w:after="0"/>
        <w:jc w:val="both"/>
        <w:rPr>
          <w:b/>
          <w:lang w:val="es-ES"/>
        </w:rPr>
      </w:pPr>
      <w:r w:rsidRPr="008673CC">
        <w:rPr>
          <w:b/>
          <w:lang w:val="es-ES"/>
        </w:rPr>
        <w:t xml:space="preserve">21 de junio; </w:t>
      </w:r>
    </w:p>
    <w:p w14:paraId="100A0EA9" w14:textId="77777777" w:rsidR="005350E9" w:rsidRPr="005350E9" w:rsidRDefault="005350E9" w:rsidP="005350E9">
      <w:pPr>
        <w:spacing w:after="0"/>
        <w:jc w:val="both"/>
        <w:rPr>
          <w:bCs/>
          <w:lang w:val="es-ES"/>
        </w:rPr>
      </w:pPr>
      <w:r w:rsidRPr="005350E9">
        <w:rPr>
          <w:bCs/>
          <w:lang w:val="es-ES"/>
        </w:rPr>
        <w:t xml:space="preserve">El </w:t>
      </w:r>
      <w:proofErr w:type="gramStart"/>
      <w:r w:rsidRPr="005350E9">
        <w:rPr>
          <w:bCs/>
          <w:lang w:val="es-ES"/>
        </w:rPr>
        <w:t>Presidente</w:t>
      </w:r>
      <w:proofErr w:type="gramEnd"/>
      <w:r w:rsidRPr="005350E9">
        <w:rPr>
          <w:bCs/>
          <w:lang w:val="es-ES"/>
        </w:rPr>
        <w:t xml:space="preserve"> de la Unión Industrial del Oeste, Ing Edgardo Gámbaro, recibió junto a la jefa de la Agencia Territorial Conurbano Oeste, Laura </w:t>
      </w:r>
      <w:proofErr w:type="spellStart"/>
      <w:r w:rsidRPr="005350E9">
        <w:rPr>
          <w:bCs/>
          <w:lang w:val="es-ES"/>
        </w:rPr>
        <w:t>Romanelli</w:t>
      </w:r>
      <w:proofErr w:type="spellEnd"/>
      <w:r w:rsidRPr="005350E9">
        <w:rPr>
          <w:bCs/>
          <w:lang w:val="es-ES"/>
        </w:rPr>
        <w:t xml:space="preserve"> y la </w:t>
      </w:r>
      <w:proofErr w:type="gramStart"/>
      <w:r w:rsidRPr="005350E9">
        <w:rPr>
          <w:bCs/>
          <w:lang w:val="es-ES"/>
        </w:rPr>
        <w:t>Secretaria</w:t>
      </w:r>
      <w:proofErr w:type="gramEnd"/>
      <w:r w:rsidRPr="005350E9">
        <w:rPr>
          <w:bCs/>
          <w:lang w:val="es-ES"/>
        </w:rPr>
        <w:t xml:space="preserve"> de Desarrollo Local, Empleo y Economía Social del municipio de Morón, Eugenia Navarro, en el salón de eventos de la institución al Señor jefe de Gabinete del Ministerio de Trabajo de Nación, Roberto </w:t>
      </w:r>
      <w:proofErr w:type="spellStart"/>
      <w:r w:rsidRPr="005350E9">
        <w:rPr>
          <w:bCs/>
          <w:lang w:val="es-ES"/>
        </w:rPr>
        <w:t>Sukerman</w:t>
      </w:r>
      <w:proofErr w:type="spellEnd"/>
      <w:r w:rsidRPr="005350E9">
        <w:rPr>
          <w:bCs/>
          <w:lang w:val="es-ES"/>
        </w:rPr>
        <w:t>.</w:t>
      </w:r>
    </w:p>
    <w:p w14:paraId="6CE12E07" w14:textId="77777777" w:rsidR="005350E9" w:rsidRPr="005350E9" w:rsidRDefault="005350E9" w:rsidP="005350E9">
      <w:pPr>
        <w:spacing w:after="0"/>
        <w:jc w:val="both"/>
        <w:rPr>
          <w:bCs/>
          <w:lang w:val="es-ES"/>
        </w:rPr>
      </w:pPr>
    </w:p>
    <w:p w14:paraId="15AFAB12" w14:textId="77777777" w:rsidR="005350E9" w:rsidRPr="005350E9" w:rsidRDefault="005350E9" w:rsidP="005350E9">
      <w:pPr>
        <w:spacing w:after="0"/>
        <w:jc w:val="both"/>
        <w:rPr>
          <w:bCs/>
          <w:lang w:val="es-ES"/>
        </w:rPr>
      </w:pPr>
      <w:r w:rsidRPr="005350E9">
        <w:rPr>
          <w:bCs/>
          <w:lang w:val="es-ES"/>
        </w:rPr>
        <w:t>El objetivo fue consolidar el diálogo entre los actores del territorio para que éstos puedan recibir información en relación a la formación e inserción laboral de trabajadores y trabajadoras a través de los programas Entrenamiento para el Trabajo, Programa de Inserción Laboral (PIL), Te Sumo, Fomentar Empleo y la plataforma Portal Empleo.</w:t>
      </w:r>
    </w:p>
    <w:p w14:paraId="0F429401" w14:textId="77777777" w:rsidR="005350E9" w:rsidRPr="005350E9" w:rsidRDefault="005350E9" w:rsidP="005350E9">
      <w:pPr>
        <w:spacing w:after="0"/>
        <w:jc w:val="both"/>
        <w:rPr>
          <w:bCs/>
          <w:lang w:val="es-ES"/>
        </w:rPr>
      </w:pPr>
    </w:p>
    <w:p w14:paraId="0834A243" w14:textId="77777777" w:rsidR="005350E9" w:rsidRPr="008673CC" w:rsidRDefault="005350E9" w:rsidP="005350E9">
      <w:pPr>
        <w:spacing w:after="0"/>
        <w:jc w:val="both"/>
        <w:rPr>
          <w:b/>
          <w:lang w:val="es-ES"/>
        </w:rPr>
      </w:pPr>
      <w:r w:rsidRPr="008673CC">
        <w:rPr>
          <w:b/>
          <w:lang w:val="es-ES"/>
        </w:rPr>
        <w:t xml:space="preserve">22/06/2022 </w:t>
      </w:r>
    </w:p>
    <w:p w14:paraId="004F9D3C" w14:textId="77777777" w:rsidR="005350E9" w:rsidRPr="005350E9" w:rsidRDefault="005350E9" w:rsidP="005350E9">
      <w:pPr>
        <w:spacing w:after="0"/>
        <w:jc w:val="both"/>
        <w:rPr>
          <w:bCs/>
          <w:lang w:val="es-ES"/>
        </w:rPr>
      </w:pPr>
      <w:r w:rsidRPr="005350E9">
        <w:rPr>
          <w:bCs/>
          <w:lang w:val="es-ES"/>
        </w:rPr>
        <w:t>Jornada de trabajo: Presentación de los programas de incentivos económicos para la formación e incorporación de trabajadores/as en empresas, así como reducción de contribuciones patronales</w:t>
      </w:r>
    </w:p>
    <w:p w14:paraId="094FC4C4" w14:textId="77777777" w:rsidR="005350E9" w:rsidRPr="005350E9" w:rsidRDefault="005350E9" w:rsidP="005350E9">
      <w:pPr>
        <w:spacing w:after="0"/>
        <w:jc w:val="both"/>
        <w:rPr>
          <w:bCs/>
          <w:lang w:val="es-ES"/>
        </w:rPr>
      </w:pPr>
    </w:p>
    <w:p w14:paraId="38F449F8" w14:textId="77777777" w:rsidR="00314BE9" w:rsidRPr="008673CC" w:rsidRDefault="005350E9" w:rsidP="005350E9">
      <w:pPr>
        <w:spacing w:after="0"/>
        <w:jc w:val="both"/>
        <w:rPr>
          <w:b/>
          <w:lang w:val="es-ES"/>
        </w:rPr>
      </w:pPr>
      <w:r w:rsidRPr="008673CC">
        <w:rPr>
          <w:b/>
          <w:lang w:val="es-ES"/>
        </w:rPr>
        <w:t xml:space="preserve">23/06/2022 </w:t>
      </w:r>
    </w:p>
    <w:p w14:paraId="543C4EFF" w14:textId="5349BF25" w:rsidR="005350E9" w:rsidRPr="005350E9" w:rsidRDefault="005350E9" w:rsidP="005350E9">
      <w:pPr>
        <w:spacing w:after="0"/>
        <w:jc w:val="both"/>
        <w:rPr>
          <w:bCs/>
          <w:lang w:val="es-ES"/>
        </w:rPr>
      </w:pPr>
      <w:r w:rsidRPr="005350E9">
        <w:rPr>
          <w:bCs/>
          <w:lang w:val="es-ES"/>
        </w:rPr>
        <w:t xml:space="preserve">En el día de ayer se realizó con gran éxito la primera Jornada de Donación de sangre del año para los trabajadores del Parque Industrial La Cantábrica organizada junto al Hospital </w:t>
      </w:r>
      <w:proofErr w:type="gramStart"/>
      <w:r w:rsidRPr="005350E9">
        <w:rPr>
          <w:bCs/>
          <w:lang w:val="es-ES"/>
        </w:rPr>
        <w:t>Posadas ,</w:t>
      </w:r>
      <w:proofErr w:type="gramEnd"/>
      <w:r w:rsidRPr="005350E9">
        <w:rPr>
          <w:bCs/>
          <w:lang w:val="es-ES"/>
        </w:rPr>
        <w:t xml:space="preserve"> la Municipalidad de </w:t>
      </w:r>
      <w:proofErr w:type="gramStart"/>
      <w:r w:rsidRPr="005350E9">
        <w:rPr>
          <w:bCs/>
          <w:lang w:val="es-ES"/>
        </w:rPr>
        <w:t>Morón,  y</w:t>
      </w:r>
      <w:proofErr w:type="gramEnd"/>
      <w:r w:rsidRPr="005350E9">
        <w:rPr>
          <w:bCs/>
          <w:lang w:val="es-ES"/>
        </w:rPr>
        <w:t xml:space="preserve"> el Ente de Promoción Industrial Buenos Aires- Morón (EPIBAM).</w:t>
      </w:r>
    </w:p>
    <w:p w14:paraId="28AF72E8" w14:textId="77777777" w:rsidR="005350E9" w:rsidRPr="005350E9" w:rsidRDefault="005350E9" w:rsidP="005350E9">
      <w:pPr>
        <w:spacing w:after="0"/>
        <w:jc w:val="both"/>
        <w:rPr>
          <w:bCs/>
          <w:lang w:val="es-ES"/>
        </w:rPr>
      </w:pPr>
    </w:p>
    <w:p w14:paraId="3DE170A8" w14:textId="77777777" w:rsidR="006B2464" w:rsidRPr="00DD0FAD" w:rsidRDefault="005350E9" w:rsidP="005350E9">
      <w:pPr>
        <w:spacing w:after="0"/>
        <w:jc w:val="both"/>
        <w:rPr>
          <w:b/>
          <w:lang w:val="es-ES"/>
        </w:rPr>
      </w:pPr>
      <w:r w:rsidRPr="00DD0FAD">
        <w:rPr>
          <w:b/>
          <w:lang w:val="es-ES"/>
        </w:rPr>
        <w:t xml:space="preserve">21/07/2022 </w:t>
      </w:r>
    </w:p>
    <w:p w14:paraId="2D1DEB5C" w14:textId="7FFC188E" w:rsidR="005350E9" w:rsidRPr="005350E9" w:rsidRDefault="005350E9" w:rsidP="005350E9">
      <w:pPr>
        <w:spacing w:after="0"/>
        <w:jc w:val="both"/>
        <w:rPr>
          <w:bCs/>
          <w:lang w:val="es-ES"/>
        </w:rPr>
      </w:pPr>
      <w:r w:rsidRPr="005350E9">
        <w:rPr>
          <w:bCs/>
          <w:lang w:val="es-ES"/>
        </w:rPr>
        <w:t xml:space="preserve">En el día de ayer llevamos a cabo una capacitación de Man </w:t>
      </w:r>
      <w:proofErr w:type="spellStart"/>
      <w:r w:rsidRPr="005350E9">
        <w:rPr>
          <w:bCs/>
          <w:lang w:val="es-ES"/>
        </w:rPr>
        <w:t>Power</w:t>
      </w:r>
      <w:proofErr w:type="spellEnd"/>
      <w:r w:rsidRPr="005350E9">
        <w:rPr>
          <w:bCs/>
          <w:lang w:val="es-ES"/>
        </w:rPr>
        <w:t xml:space="preserve"> </w:t>
      </w:r>
      <w:proofErr w:type="spellStart"/>
      <w:r w:rsidRPr="005350E9">
        <w:rPr>
          <w:bCs/>
          <w:lang w:val="es-ES"/>
        </w:rPr>
        <w:t>Group</w:t>
      </w:r>
      <w:proofErr w:type="spellEnd"/>
      <w:r w:rsidR="00033747">
        <w:rPr>
          <w:bCs/>
          <w:lang w:val="es-ES"/>
        </w:rPr>
        <w:t xml:space="preserve"> - </w:t>
      </w:r>
      <w:r w:rsidRPr="005350E9">
        <w:rPr>
          <w:bCs/>
          <w:lang w:val="es-ES"/>
        </w:rPr>
        <w:t>El Gran aprendizaje: “reinicio del liderazgo”</w:t>
      </w:r>
    </w:p>
    <w:p w14:paraId="6FDB03D5" w14:textId="77777777" w:rsidR="005350E9" w:rsidRPr="005350E9" w:rsidRDefault="005350E9" w:rsidP="005350E9">
      <w:pPr>
        <w:spacing w:after="0"/>
        <w:jc w:val="both"/>
        <w:rPr>
          <w:bCs/>
          <w:lang w:val="es-ES"/>
        </w:rPr>
      </w:pPr>
    </w:p>
    <w:p w14:paraId="53C4D393" w14:textId="77777777" w:rsidR="00242BCF" w:rsidRPr="00DD0FAD" w:rsidRDefault="005350E9" w:rsidP="005350E9">
      <w:pPr>
        <w:spacing w:after="0"/>
        <w:jc w:val="both"/>
        <w:rPr>
          <w:b/>
          <w:lang w:val="es-ES"/>
        </w:rPr>
      </w:pPr>
      <w:r w:rsidRPr="00DD0FAD">
        <w:rPr>
          <w:b/>
          <w:lang w:val="es-ES"/>
        </w:rPr>
        <w:t xml:space="preserve">21/07/2022 </w:t>
      </w:r>
    </w:p>
    <w:p w14:paraId="3A304B67" w14:textId="4D6FC426" w:rsidR="005350E9" w:rsidRPr="005350E9" w:rsidRDefault="005350E9" w:rsidP="005350E9">
      <w:pPr>
        <w:spacing w:after="0"/>
        <w:jc w:val="both"/>
        <w:rPr>
          <w:bCs/>
          <w:lang w:val="es-ES"/>
        </w:rPr>
      </w:pPr>
      <w:r w:rsidRPr="005350E9">
        <w:rPr>
          <w:bCs/>
          <w:lang w:val="es-ES"/>
        </w:rPr>
        <w:t xml:space="preserve">El </w:t>
      </w:r>
      <w:proofErr w:type="gramStart"/>
      <w:r w:rsidRPr="005350E9">
        <w:rPr>
          <w:bCs/>
          <w:lang w:val="es-ES"/>
        </w:rPr>
        <w:t>Presidente</w:t>
      </w:r>
      <w:proofErr w:type="gramEnd"/>
      <w:r w:rsidRPr="005350E9">
        <w:rPr>
          <w:bCs/>
          <w:lang w:val="es-ES"/>
        </w:rPr>
        <w:t xml:space="preserve"> de la UIO, Ing. Edgardo Gámbaro, el Administrador del Parque Industrial “La Cantábrica”, Pablo de Paoli y la Coordinadora General de la UIO, Lic. Florencia Mansilla recibieron en la sede de la entidad al flamante Decano de la Facultad Regional Haedo (FRH) de la Universidad Tecnológica Nacional (UTN), Ing. Carlos Salvador junto al </w:t>
      </w:r>
      <w:proofErr w:type="gramStart"/>
      <w:r w:rsidRPr="005350E9">
        <w:rPr>
          <w:bCs/>
          <w:lang w:val="es-ES"/>
        </w:rPr>
        <w:t>Secretario</w:t>
      </w:r>
      <w:proofErr w:type="gramEnd"/>
      <w:r w:rsidRPr="005350E9">
        <w:rPr>
          <w:bCs/>
          <w:lang w:val="es-ES"/>
        </w:rPr>
        <w:t xml:space="preserve"> de Asuntos Estudiantiles, Santiago Giménez.</w:t>
      </w:r>
    </w:p>
    <w:p w14:paraId="2CF8043F" w14:textId="77777777" w:rsidR="005350E9" w:rsidRPr="005350E9" w:rsidRDefault="005350E9" w:rsidP="005350E9">
      <w:pPr>
        <w:spacing w:after="0"/>
        <w:jc w:val="both"/>
        <w:rPr>
          <w:bCs/>
          <w:lang w:val="es-ES"/>
        </w:rPr>
      </w:pPr>
    </w:p>
    <w:p w14:paraId="43AB7ADF" w14:textId="77777777" w:rsidR="002B2DA5" w:rsidRPr="00DD0FAD" w:rsidRDefault="005350E9" w:rsidP="005350E9">
      <w:pPr>
        <w:spacing w:after="0"/>
        <w:jc w:val="both"/>
        <w:rPr>
          <w:b/>
          <w:lang w:val="es-ES"/>
        </w:rPr>
      </w:pPr>
      <w:r w:rsidRPr="00DD0FAD">
        <w:rPr>
          <w:b/>
          <w:lang w:val="es-ES"/>
        </w:rPr>
        <w:t xml:space="preserve">22/07/2022 </w:t>
      </w:r>
    </w:p>
    <w:p w14:paraId="41C7A82C" w14:textId="178A14BC" w:rsidR="005350E9" w:rsidRPr="005350E9" w:rsidRDefault="002B2DA5" w:rsidP="005350E9">
      <w:pPr>
        <w:spacing w:after="0"/>
        <w:jc w:val="both"/>
        <w:rPr>
          <w:bCs/>
          <w:lang w:val="es-ES"/>
        </w:rPr>
      </w:pPr>
      <w:r>
        <w:rPr>
          <w:bCs/>
          <w:lang w:val="es-ES"/>
        </w:rPr>
        <w:t>S</w:t>
      </w:r>
      <w:r w:rsidR="005350E9" w:rsidRPr="005350E9">
        <w:rPr>
          <w:bCs/>
          <w:lang w:val="es-ES"/>
        </w:rPr>
        <w:t>e llevó a cabo con mucho éxito la campaña de vacunación en el Parque Industrial La Cantábrica organizada junto la UIO, la secretaria de salud del municipio de Morón, y el Ente de Promoción Industrial Buenos Aires- Morón (EPIBAM).</w:t>
      </w:r>
    </w:p>
    <w:p w14:paraId="39741DD3" w14:textId="77777777" w:rsidR="005350E9" w:rsidRPr="005350E9" w:rsidRDefault="005350E9" w:rsidP="005350E9">
      <w:pPr>
        <w:spacing w:after="0"/>
        <w:jc w:val="both"/>
        <w:rPr>
          <w:bCs/>
          <w:lang w:val="es-ES"/>
        </w:rPr>
      </w:pPr>
    </w:p>
    <w:p w14:paraId="1BE16841" w14:textId="77777777" w:rsidR="007702BA" w:rsidRPr="00DD0FAD" w:rsidRDefault="005350E9" w:rsidP="005350E9">
      <w:pPr>
        <w:spacing w:after="0"/>
        <w:jc w:val="both"/>
        <w:rPr>
          <w:b/>
          <w:lang w:val="es-ES"/>
        </w:rPr>
      </w:pPr>
      <w:r w:rsidRPr="00DD0FAD">
        <w:rPr>
          <w:b/>
          <w:lang w:val="es-ES"/>
        </w:rPr>
        <w:t xml:space="preserve">26/08/2022 </w:t>
      </w:r>
    </w:p>
    <w:p w14:paraId="36A8F833" w14:textId="54971AC5" w:rsidR="005350E9" w:rsidRPr="005350E9" w:rsidRDefault="005350E9" w:rsidP="005350E9">
      <w:pPr>
        <w:spacing w:after="0"/>
        <w:jc w:val="both"/>
        <w:rPr>
          <w:bCs/>
          <w:lang w:val="es-ES"/>
        </w:rPr>
      </w:pPr>
      <w:r w:rsidRPr="005350E9">
        <w:rPr>
          <w:bCs/>
          <w:lang w:val="es-ES"/>
        </w:rPr>
        <w:t xml:space="preserve">Herramientas de Marketing Digital para </w:t>
      </w:r>
      <w:proofErr w:type="spellStart"/>
      <w:r w:rsidRPr="005350E9">
        <w:rPr>
          <w:bCs/>
          <w:lang w:val="es-ES"/>
        </w:rPr>
        <w:t>PyMES</w:t>
      </w:r>
      <w:proofErr w:type="spellEnd"/>
      <w:r w:rsidRPr="005350E9">
        <w:rPr>
          <w:bCs/>
          <w:lang w:val="es-ES"/>
        </w:rPr>
        <w:t xml:space="preserve"> y Emprendedores</w:t>
      </w:r>
      <w:r w:rsidR="003532E2">
        <w:rPr>
          <w:bCs/>
          <w:lang w:val="es-ES"/>
        </w:rPr>
        <w:t>. Jornada de Capacitación</w:t>
      </w:r>
    </w:p>
    <w:p w14:paraId="0B46A07C" w14:textId="77777777" w:rsidR="005350E9" w:rsidRPr="005350E9" w:rsidRDefault="005350E9" w:rsidP="005350E9">
      <w:pPr>
        <w:spacing w:after="0"/>
        <w:jc w:val="both"/>
        <w:rPr>
          <w:bCs/>
          <w:lang w:val="es-ES"/>
        </w:rPr>
      </w:pPr>
    </w:p>
    <w:p w14:paraId="7A64A73A" w14:textId="77777777" w:rsidR="007702BA" w:rsidRPr="003532E2" w:rsidRDefault="005350E9" w:rsidP="005350E9">
      <w:pPr>
        <w:spacing w:after="0"/>
        <w:jc w:val="both"/>
        <w:rPr>
          <w:b/>
          <w:lang w:val="es-ES"/>
        </w:rPr>
      </w:pPr>
      <w:r w:rsidRPr="003532E2">
        <w:rPr>
          <w:b/>
          <w:lang w:val="es-ES"/>
        </w:rPr>
        <w:t xml:space="preserve">23/08/2022 </w:t>
      </w:r>
    </w:p>
    <w:p w14:paraId="64B205F0" w14:textId="42776B85" w:rsidR="005350E9" w:rsidRDefault="005350E9" w:rsidP="005350E9">
      <w:pPr>
        <w:spacing w:after="0"/>
        <w:jc w:val="both"/>
        <w:rPr>
          <w:bCs/>
          <w:lang w:val="es-ES"/>
        </w:rPr>
      </w:pPr>
      <w:r w:rsidRPr="005350E9">
        <w:rPr>
          <w:bCs/>
          <w:lang w:val="es-ES"/>
        </w:rPr>
        <w:t>En el día de hoy se llevó a cabo en nuestro salón de eventos el curso de Capacitación en RCP básico y primeros Auxilios</w:t>
      </w:r>
    </w:p>
    <w:p w14:paraId="2B62BD3F" w14:textId="77777777" w:rsidR="007702BA" w:rsidRPr="005350E9" w:rsidRDefault="007702BA" w:rsidP="005350E9">
      <w:pPr>
        <w:spacing w:after="0"/>
        <w:jc w:val="both"/>
        <w:rPr>
          <w:bCs/>
          <w:lang w:val="es-ES"/>
        </w:rPr>
      </w:pPr>
    </w:p>
    <w:p w14:paraId="06E87AB6" w14:textId="77777777" w:rsidR="00F02421" w:rsidRPr="003532E2" w:rsidRDefault="005350E9" w:rsidP="005350E9">
      <w:pPr>
        <w:spacing w:after="0"/>
        <w:jc w:val="both"/>
        <w:rPr>
          <w:b/>
          <w:lang w:val="es-ES"/>
        </w:rPr>
      </w:pPr>
      <w:r w:rsidRPr="003532E2">
        <w:rPr>
          <w:b/>
          <w:lang w:val="es-ES"/>
        </w:rPr>
        <w:t xml:space="preserve">19/10/2022 </w:t>
      </w:r>
    </w:p>
    <w:p w14:paraId="69E1EEFA" w14:textId="46535B75" w:rsidR="005350E9" w:rsidRPr="005350E9" w:rsidRDefault="005350E9" w:rsidP="005350E9">
      <w:pPr>
        <w:spacing w:after="0"/>
        <w:jc w:val="both"/>
        <w:rPr>
          <w:bCs/>
          <w:lang w:val="es-ES"/>
        </w:rPr>
      </w:pPr>
      <w:r w:rsidRPr="005350E9">
        <w:rPr>
          <w:bCs/>
          <w:lang w:val="es-ES"/>
        </w:rPr>
        <w:lastRenderedPageBreak/>
        <w:t>11° EXPO UIO-TEC</w:t>
      </w:r>
    </w:p>
    <w:p w14:paraId="1B99CE74" w14:textId="7F0D374C" w:rsidR="005350E9" w:rsidRDefault="00F02421" w:rsidP="005350E9">
      <w:pPr>
        <w:spacing w:after="0"/>
        <w:jc w:val="both"/>
        <w:rPr>
          <w:bCs/>
          <w:lang w:val="es-ES"/>
        </w:rPr>
      </w:pPr>
      <w:r>
        <w:rPr>
          <w:bCs/>
          <w:lang w:val="es-ES"/>
        </w:rPr>
        <w:t>I</w:t>
      </w:r>
      <w:r w:rsidR="005350E9" w:rsidRPr="005350E9">
        <w:rPr>
          <w:bCs/>
          <w:lang w:val="es-ES"/>
        </w:rPr>
        <w:t xml:space="preserve">nauguramos la Expo UIO </w:t>
      </w:r>
      <w:proofErr w:type="spellStart"/>
      <w:r w:rsidR="005350E9" w:rsidRPr="005350E9">
        <w:rPr>
          <w:bCs/>
          <w:lang w:val="es-ES"/>
        </w:rPr>
        <w:t>Tec</w:t>
      </w:r>
      <w:proofErr w:type="spellEnd"/>
      <w:r w:rsidR="005350E9" w:rsidRPr="005350E9">
        <w:rPr>
          <w:bCs/>
          <w:lang w:val="es-ES"/>
        </w:rPr>
        <w:t xml:space="preserve"> 2022, esta exhibición que nos llena de orgullo y que representa un espacio de encuentro entre la educación, la industria y empleo.</w:t>
      </w:r>
    </w:p>
    <w:p w14:paraId="1D3C68BE" w14:textId="77777777" w:rsidR="00F02421" w:rsidRPr="005350E9" w:rsidRDefault="00F02421" w:rsidP="005350E9">
      <w:pPr>
        <w:spacing w:after="0"/>
        <w:jc w:val="both"/>
        <w:rPr>
          <w:bCs/>
          <w:lang w:val="es-ES"/>
        </w:rPr>
      </w:pPr>
    </w:p>
    <w:p w14:paraId="7692059D" w14:textId="77777777" w:rsidR="005350E9" w:rsidRDefault="005350E9" w:rsidP="005350E9">
      <w:pPr>
        <w:spacing w:after="0"/>
        <w:jc w:val="both"/>
        <w:rPr>
          <w:bCs/>
          <w:lang w:val="es-ES"/>
        </w:rPr>
      </w:pPr>
      <w:r w:rsidRPr="005350E9">
        <w:rPr>
          <w:bCs/>
          <w:lang w:val="es-ES"/>
        </w:rPr>
        <w:t>Por UNDÉCIMO año consecutivo, la Unión Industrial del Oeste lleva a cabo esta muestra que comenzó en el año 2010 y que repite cada año con el objetivo de fortalecer el vínculo entre la educación y la industria.</w:t>
      </w:r>
    </w:p>
    <w:p w14:paraId="3EBDD70A" w14:textId="77777777" w:rsidR="00F02421" w:rsidRPr="005350E9" w:rsidRDefault="00F02421" w:rsidP="005350E9">
      <w:pPr>
        <w:spacing w:after="0"/>
        <w:jc w:val="both"/>
        <w:rPr>
          <w:bCs/>
          <w:lang w:val="es-ES"/>
        </w:rPr>
      </w:pPr>
    </w:p>
    <w:p w14:paraId="5AEE5131" w14:textId="77777777" w:rsidR="005350E9" w:rsidRDefault="005350E9" w:rsidP="005350E9">
      <w:pPr>
        <w:spacing w:after="0"/>
        <w:jc w:val="both"/>
        <w:rPr>
          <w:bCs/>
          <w:lang w:val="es-ES"/>
        </w:rPr>
      </w:pPr>
      <w:r w:rsidRPr="005350E9">
        <w:rPr>
          <w:bCs/>
          <w:lang w:val="es-ES"/>
        </w:rPr>
        <w:t>El apoyo del Municipio de Morón y de la Dirección Provincial de Educación Técnico Profesional de la Provincia de Buenos Aires son fundamentales para generar este espacio, en el que los alumnos y alumnas del último año de las escuelas técnicas de la región oeste puedan mostrar los proyectos en los que trabajan y su capacidad de diseñar y desarrollar innovaciones.</w:t>
      </w:r>
    </w:p>
    <w:p w14:paraId="24D42524" w14:textId="77777777" w:rsidR="009A4DF9" w:rsidRPr="005350E9" w:rsidRDefault="009A4DF9" w:rsidP="005350E9">
      <w:pPr>
        <w:spacing w:after="0"/>
        <w:jc w:val="both"/>
        <w:rPr>
          <w:bCs/>
          <w:lang w:val="es-ES"/>
        </w:rPr>
      </w:pPr>
    </w:p>
    <w:p w14:paraId="03ADBA11" w14:textId="401C1F93" w:rsidR="005350E9" w:rsidRPr="005350E9" w:rsidRDefault="005350E9" w:rsidP="005350E9">
      <w:pPr>
        <w:spacing w:after="0"/>
        <w:jc w:val="both"/>
        <w:rPr>
          <w:bCs/>
          <w:lang w:val="es-ES"/>
        </w:rPr>
      </w:pPr>
      <w:r w:rsidRPr="005350E9">
        <w:rPr>
          <w:bCs/>
          <w:lang w:val="es-ES"/>
        </w:rPr>
        <w:t xml:space="preserve">Durante dos días 19 y 20 de </w:t>
      </w:r>
      <w:proofErr w:type="gramStart"/>
      <w:r w:rsidRPr="005350E9">
        <w:rPr>
          <w:bCs/>
          <w:lang w:val="es-ES"/>
        </w:rPr>
        <w:t>Octubre</w:t>
      </w:r>
      <w:proofErr w:type="gramEnd"/>
      <w:r w:rsidRPr="005350E9">
        <w:rPr>
          <w:bCs/>
          <w:lang w:val="es-ES"/>
        </w:rPr>
        <w:t xml:space="preserve"> se exhibirán 38 proyectos de Escuelas Técnicas de Morón, Ituzaingó, y Merlo Serán visitados y evaluados por un grupo de empresarios socios de nuestra entidad como así por representantes del Municipio de Morón, La Universidad Tecnológica Nacional Regional Haedo, La Universidad de Morón, la universidad Nacional de Hurlingham, el Colegio de ingenieros de la Provincia de Buenos Aires</w:t>
      </w:r>
      <w:r w:rsidR="009A4DF9">
        <w:rPr>
          <w:bCs/>
          <w:lang w:val="es-ES"/>
        </w:rPr>
        <w:t>.</w:t>
      </w:r>
    </w:p>
    <w:p w14:paraId="7C5AB7A3" w14:textId="77777777" w:rsidR="005350E9" w:rsidRPr="005350E9" w:rsidRDefault="005350E9" w:rsidP="005350E9">
      <w:pPr>
        <w:spacing w:after="0"/>
        <w:jc w:val="both"/>
        <w:rPr>
          <w:bCs/>
          <w:lang w:val="es-ES"/>
        </w:rPr>
      </w:pPr>
    </w:p>
    <w:p w14:paraId="6077F52A" w14:textId="77777777" w:rsidR="009A4DF9" w:rsidRPr="003532E2" w:rsidRDefault="005350E9" w:rsidP="005350E9">
      <w:pPr>
        <w:spacing w:after="0"/>
        <w:jc w:val="both"/>
        <w:rPr>
          <w:b/>
          <w:lang w:val="es-ES"/>
        </w:rPr>
      </w:pPr>
      <w:r w:rsidRPr="003532E2">
        <w:rPr>
          <w:b/>
          <w:lang w:val="es-ES"/>
        </w:rPr>
        <w:t xml:space="preserve">19/10/2022 </w:t>
      </w:r>
    </w:p>
    <w:p w14:paraId="3F43EA97" w14:textId="4CBB409C" w:rsidR="005350E9" w:rsidRDefault="005350E9" w:rsidP="005350E9">
      <w:pPr>
        <w:spacing w:after="0"/>
        <w:jc w:val="both"/>
        <w:rPr>
          <w:bCs/>
          <w:lang w:val="es-ES"/>
        </w:rPr>
      </w:pPr>
      <w:r w:rsidRPr="005350E9">
        <w:rPr>
          <w:bCs/>
          <w:lang w:val="es-ES"/>
        </w:rPr>
        <w:t>En el marco de la UIOTEC se realizó con gran éxito una Jornada de Donación de sangre a cargo del banco de sangre del Hospital Posadas @</w:t>
      </w:r>
      <w:proofErr w:type="gramStart"/>
      <w:r w:rsidRPr="005350E9">
        <w:rPr>
          <w:bCs/>
          <w:lang w:val="es-ES"/>
        </w:rPr>
        <w:t>hospitalposadas .El</w:t>
      </w:r>
      <w:proofErr w:type="gramEnd"/>
      <w:r w:rsidRPr="005350E9">
        <w:rPr>
          <w:bCs/>
          <w:lang w:val="es-ES"/>
        </w:rPr>
        <w:t xml:space="preserve"> primer día de la EXPO se realizó una charla de Concientización de donación sangre y Medula ósea”</w:t>
      </w:r>
      <w:r w:rsidR="007D7DD7">
        <w:rPr>
          <w:bCs/>
          <w:lang w:val="es-ES"/>
        </w:rPr>
        <w:t>.</w:t>
      </w:r>
    </w:p>
    <w:p w14:paraId="17D4069D" w14:textId="77777777" w:rsidR="007D7DD7" w:rsidRPr="005350E9" w:rsidRDefault="007D7DD7" w:rsidP="005350E9">
      <w:pPr>
        <w:spacing w:after="0"/>
        <w:jc w:val="both"/>
        <w:rPr>
          <w:bCs/>
          <w:lang w:val="es-ES"/>
        </w:rPr>
      </w:pPr>
    </w:p>
    <w:p w14:paraId="2B8B7ECB" w14:textId="77777777" w:rsidR="005350E9" w:rsidRPr="005350E9" w:rsidRDefault="005350E9" w:rsidP="005350E9">
      <w:pPr>
        <w:spacing w:after="0"/>
        <w:jc w:val="both"/>
        <w:rPr>
          <w:bCs/>
          <w:lang w:val="es-ES"/>
        </w:rPr>
      </w:pPr>
      <w:r w:rsidRPr="005350E9">
        <w:rPr>
          <w:bCs/>
          <w:lang w:val="es-ES"/>
        </w:rPr>
        <w:t>El segundo día se llevó a cabo 10 a 12hs la Colecta Donación de Sangre y medula ósea. Esta actividad tiene como fin promover y fidelizar la donación voluntaria y habitual de sangre.</w:t>
      </w:r>
    </w:p>
    <w:p w14:paraId="246080C2" w14:textId="77777777" w:rsidR="005350E9" w:rsidRPr="005350E9" w:rsidRDefault="005350E9" w:rsidP="005350E9">
      <w:pPr>
        <w:spacing w:after="0"/>
        <w:jc w:val="both"/>
        <w:rPr>
          <w:bCs/>
          <w:lang w:val="es-ES"/>
        </w:rPr>
      </w:pPr>
    </w:p>
    <w:p w14:paraId="262F6D12" w14:textId="77777777" w:rsidR="009F2EDF" w:rsidRPr="003532E2" w:rsidRDefault="005350E9" w:rsidP="005350E9">
      <w:pPr>
        <w:spacing w:after="0"/>
        <w:jc w:val="both"/>
        <w:rPr>
          <w:b/>
          <w:lang w:val="es-ES"/>
        </w:rPr>
      </w:pPr>
      <w:r w:rsidRPr="003532E2">
        <w:rPr>
          <w:b/>
          <w:lang w:val="es-ES"/>
        </w:rPr>
        <w:t xml:space="preserve">03/11/2022 </w:t>
      </w:r>
    </w:p>
    <w:p w14:paraId="2538485A" w14:textId="6EB746EE" w:rsidR="005350E9" w:rsidRDefault="009F2EDF" w:rsidP="005350E9">
      <w:pPr>
        <w:spacing w:after="0"/>
        <w:jc w:val="both"/>
        <w:rPr>
          <w:bCs/>
          <w:lang w:val="es-ES"/>
        </w:rPr>
      </w:pPr>
      <w:r>
        <w:rPr>
          <w:bCs/>
          <w:lang w:val="es-ES"/>
        </w:rPr>
        <w:t>L</w:t>
      </w:r>
      <w:r w:rsidR="005350E9" w:rsidRPr="005350E9">
        <w:rPr>
          <w:bCs/>
          <w:lang w:val="es-ES"/>
        </w:rPr>
        <w:t xml:space="preserve">as autoridades de la Unión Industrial del Oeste recibieron de visita </w:t>
      </w:r>
      <w:r>
        <w:rPr>
          <w:bCs/>
          <w:lang w:val="es-ES"/>
        </w:rPr>
        <w:t>al</w:t>
      </w:r>
      <w:r w:rsidR="005350E9" w:rsidRPr="005350E9">
        <w:rPr>
          <w:bCs/>
          <w:lang w:val="es-ES"/>
        </w:rPr>
        <w:t xml:space="preserve"> presidente Alberto Fernández junto al intendente Lucas </w:t>
      </w:r>
      <w:proofErr w:type="spellStart"/>
      <w:r w:rsidR="005350E9" w:rsidRPr="005350E9">
        <w:rPr>
          <w:bCs/>
          <w:lang w:val="es-ES"/>
        </w:rPr>
        <w:t>Ghi</w:t>
      </w:r>
      <w:proofErr w:type="spellEnd"/>
      <w:r w:rsidR="005350E9" w:rsidRPr="005350E9">
        <w:rPr>
          <w:bCs/>
          <w:lang w:val="es-ES"/>
        </w:rPr>
        <w:t xml:space="preserve">, el ex intendente de Morón, Martín Sabbatella, y el titular de la Agencia de Administración de Bienes del Estado (AABE), @EduardoAlbanese; recorrieron el Parque Industrial La Cantábrica en Haedo y el Predio de la </w:t>
      </w:r>
      <w:proofErr w:type="spellStart"/>
      <w:r w:rsidR="005350E9" w:rsidRPr="005350E9">
        <w:rPr>
          <w:bCs/>
          <w:lang w:val="es-ES"/>
        </w:rPr>
        <w:t>Ampliacion</w:t>
      </w:r>
      <w:proofErr w:type="spellEnd"/>
      <w:r w:rsidR="005350E9" w:rsidRPr="005350E9">
        <w:rPr>
          <w:bCs/>
          <w:lang w:val="es-ES"/>
        </w:rPr>
        <w:t xml:space="preserve"> que está </w:t>
      </w:r>
      <w:proofErr w:type="spellStart"/>
      <w:r w:rsidR="005350E9" w:rsidRPr="005350E9">
        <w:rPr>
          <w:bCs/>
          <w:lang w:val="es-ES"/>
        </w:rPr>
        <w:t>proximo</w:t>
      </w:r>
      <w:proofErr w:type="spellEnd"/>
      <w:r w:rsidR="005350E9" w:rsidRPr="005350E9">
        <w:rPr>
          <w:bCs/>
          <w:lang w:val="es-ES"/>
        </w:rPr>
        <w:t xml:space="preserve"> a iniciar las obras para que se puedan radicar </w:t>
      </w:r>
      <w:r w:rsidRPr="005350E9">
        <w:rPr>
          <w:bCs/>
          <w:lang w:val="es-ES"/>
        </w:rPr>
        <w:t>más</w:t>
      </w:r>
      <w:r w:rsidR="005350E9" w:rsidRPr="005350E9">
        <w:rPr>
          <w:bCs/>
          <w:lang w:val="es-ES"/>
        </w:rPr>
        <w:t xml:space="preserve"> Pymes productivas.</w:t>
      </w:r>
    </w:p>
    <w:p w14:paraId="67607B29" w14:textId="77777777" w:rsidR="009F2EDF" w:rsidRPr="005350E9" w:rsidRDefault="009F2EDF" w:rsidP="005350E9">
      <w:pPr>
        <w:spacing w:after="0"/>
        <w:jc w:val="both"/>
        <w:rPr>
          <w:bCs/>
          <w:lang w:val="es-ES"/>
        </w:rPr>
      </w:pPr>
    </w:p>
    <w:p w14:paraId="27D14B7E" w14:textId="77777777" w:rsidR="000C3591" w:rsidRPr="003532E2" w:rsidRDefault="005350E9" w:rsidP="005350E9">
      <w:pPr>
        <w:spacing w:after="0"/>
        <w:jc w:val="both"/>
        <w:rPr>
          <w:b/>
          <w:lang w:val="es-ES"/>
        </w:rPr>
      </w:pPr>
      <w:r w:rsidRPr="003532E2">
        <w:rPr>
          <w:b/>
          <w:lang w:val="es-ES"/>
        </w:rPr>
        <w:t xml:space="preserve">16/11/2022 </w:t>
      </w:r>
    </w:p>
    <w:p w14:paraId="08933FEF" w14:textId="63D33C3D" w:rsidR="005350E9" w:rsidRPr="005350E9" w:rsidRDefault="000C3591" w:rsidP="005350E9">
      <w:pPr>
        <w:spacing w:after="0"/>
        <w:jc w:val="both"/>
        <w:rPr>
          <w:bCs/>
          <w:lang w:val="es-ES"/>
        </w:rPr>
      </w:pPr>
      <w:r w:rsidRPr="005350E9">
        <w:rPr>
          <w:bCs/>
          <w:lang w:val="es-ES"/>
        </w:rPr>
        <w:t>Reunión</w:t>
      </w:r>
      <w:r w:rsidR="005350E9" w:rsidRPr="005350E9">
        <w:rPr>
          <w:bCs/>
          <w:lang w:val="es-ES"/>
        </w:rPr>
        <w:t xml:space="preserve"> de Comisión directiva, tema a tartar SIRA</w:t>
      </w:r>
    </w:p>
    <w:p w14:paraId="14086295" w14:textId="77777777" w:rsidR="005350E9" w:rsidRPr="005350E9" w:rsidRDefault="005350E9" w:rsidP="005350E9">
      <w:pPr>
        <w:spacing w:after="0"/>
        <w:jc w:val="both"/>
        <w:rPr>
          <w:bCs/>
          <w:lang w:val="es-ES"/>
        </w:rPr>
      </w:pPr>
    </w:p>
    <w:p w14:paraId="4EA4CB02" w14:textId="77777777" w:rsidR="000C3591" w:rsidRPr="003532E2" w:rsidRDefault="005350E9" w:rsidP="005350E9">
      <w:pPr>
        <w:spacing w:after="0"/>
        <w:jc w:val="both"/>
        <w:rPr>
          <w:b/>
          <w:lang w:val="es-ES"/>
        </w:rPr>
      </w:pPr>
      <w:r w:rsidRPr="003532E2">
        <w:rPr>
          <w:b/>
          <w:lang w:val="es-ES"/>
        </w:rPr>
        <w:t xml:space="preserve">23/12/2022 </w:t>
      </w:r>
    </w:p>
    <w:p w14:paraId="25B498EE" w14:textId="51464103" w:rsidR="00EF4AEE" w:rsidRDefault="000C3591" w:rsidP="00E50DB4">
      <w:pPr>
        <w:spacing w:after="0"/>
        <w:jc w:val="both"/>
      </w:pPr>
      <w:r>
        <w:rPr>
          <w:bCs/>
          <w:lang w:val="es-ES"/>
        </w:rPr>
        <w:t>S</w:t>
      </w:r>
      <w:r w:rsidR="005350E9" w:rsidRPr="005350E9">
        <w:rPr>
          <w:bCs/>
          <w:lang w:val="es-ES"/>
        </w:rPr>
        <w:t xml:space="preserve">e llevó a cabo la Jornada de Donación de sangre en el Parque industrial la Cantabrica organizada por la UIO. </w:t>
      </w:r>
    </w:p>
    <w:p w14:paraId="34492977" w14:textId="77777777" w:rsidR="005F7B6B" w:rsidRDefault="005F7B6B" w:rsidP="00E50DB4">
      <w:pPr>
        <w:spacing w:after="0"/>
        <w:jc w:val="both"/>
      </w:pPr>
    </w:p>
    <w:sectPr w:rsidR="005F7B6B" w:rsidSect="0094680F">
      <w:pgSz w:w="11910" w:h="16840"/>
      <w:pgMar w:top="1134" w:right="1134" w:bottom="1134" w:left="1418"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5.25pt;height:4.5pt" o:bullet="t">
        <v:imagedata r:id="rId1" o:title="image20"/>
      </v:shape>
    </w:pict>
  </w:numPicBullet>
  <w:abstractNum w:abstractNumId="0" w15:restartNumberingAfterBreak="0">
    <w:nsid w:val="18AC217F"/>
    <w:multiLevelType w:val="hybridMultilevel"/>
    <w:tmpl w:val="74160F46"/>
    <w:lvl w:ilvl="0" w:tplc="73EA5E70">
      <w:start w:val="1"/>
      <w:numFmt w:val="decimal"/>
      <w:lvlText w:val="%1."/>
      <w:lvlJc w:val="left"/>
      <w:pPr>
        <w:ind w:left="1614" w:hanging="192"/>
      </w:pPr>
      <w:rPr>
        <w:rFonts w:ascii="Arial" w:eastAsia="Arial" w:hAnsi="Arial" w:cs="Arial" w:hint="default"/>
        <w:b/>
        <w:bCs/>
        <w:i w:val="0"/>
        <w:iCs w:val="0"/>
        <w:color w:val="0E1318"/>
        <w:spacing w:val="-7"/>
        <w:w w:val="84"/>
        <w:sz w:val="20"/>
        <w:szCs w:val="20"/>
        <w:lang w:val="es-ES" w:eastAsia="en-US" w:bidi="ar-SA"/>
      </w:rPr>
    </w:lvl>
    <w:lvl w:ilvl="1" w:tplc="5A469D36">
      <w:numFmt w:val="bullet"/>
      <w:lvlText w:val="&amp;"/>
      <w:lvlPicBulletId w:val="0"/>
      <w:lvlJc w:val="left"/>
      <w:pPr>
        <w:ind w:left="1738" w:hanging="171"/>
      </w:pPr>
      <w:rPr>
        <w:rFonts w:ascii="Times New Roman" w:eastAsia="Times New Roman" w:hAnsi="Times New Roman" w:cs="Times New Roman" w:hint="default"/>
        <w:b w:val="0"/>
        <w:bCs w:val="0"/>
        <w:i w:val="0"/>
        <w:iCs w:val="0"/>
        <w:w w:val="100"/>
        <w:position w:val="3"/>
        <w:sz w:val="9"/>
        <w:szCs w:val="9"/>
        <w:lang w:val="es-ES" w:eastAsia="en-US" w:bidi="ar-SA"/>
      </w:rPr>
    </w:lvl>
    <w:lvl w:ilvl="2" w:tplc="95BA7244">
      <w:numFmt w:val="bullet"/>
      <w:lvlText w:val="•"/>
      <w:lvlJc w:val="left"/>
      <w:pPr>
        <w:ind w:left="2617" w:hanging="171"/>
      </w:pPr>
      <w:rPr>
        <w:rFonts w:hint="default"/>
        <w:lang w:val="es-ES" w:eastAsia="en-US" w:bidi="ar-SA"/>
      </w:rPr>
    </w:lvl>
    <w:lvl w:ilvl="3" w:tplc="F6C6A8DA">
      <w:numFmt w:val="bullet"/>
      <w:lvlText w:val="•"/>
      <w:lvlJc w:val="left"/>
      <w:pPr>
        <w:ind w:left="3494" w:hanging="171"/>
      </w:pPr>
      <w:rPr>
        <w:rFonts w:hint="default"/>
        <w:lang w:val="es-ES" w:eastAsia="en-US" w:bidi="ar-SA"/>
      </w:rPr>
    </w:lvl>
    <w:lvl w:ilvl="4" w:tplc="3948D2C4">
      <w:numFmt w:val="bullet"/>
      <w:lvlText w:val="•"/>
      <w:lvlJc w:val="left"/>
      <w:pPr>
        <w:ind w:left="4371" w:hanging="171"/>
      </w:pPr>
      <w:rPr>
        <w:rFonts w:hint="default"/>
        <w:lang w:val="es-ES" w:eastAsia="en-US" w:bidi="ar-SA"/>
      </w:rPr>
    </w:lvl>
    <w:lvl w:ilvl="5" w:tplc="28E0628A">
      <w:numFmt w:val="bullet"/>
      <w:lvlText w:val="•"/>
      <w:lvlJc w:val="left"/>
      <w:pPr>
        <w:ind w:left="5248" w:hanging="171"/>
      </w:pPr>
      <w:rPr>
        <w:rFonts w:hint="default"/>
        <w:lang w:val="es-ES" w:eastAsia="en-US" w:bidi="ar-SA"/>
      </w:rPr>
    </w:lvl>
    <w:lvl w:ilvl="6" w:tplc="C9E047CE">
      <w:numFmt w:val="bullet"/>
      <w:lvlText w:val="•"/>
      <w:lvlJc w:val="left"/>
      <w:pPr>
        <w:ind w:left="6125" w:hanging="171"/>
      </w:pPr>
      <w:rPr>
        <w:rFonts w:hint="default"/>
        <w:lang w:val="es-ES" w:eastAsia="en-US" w:bidi="ar-SA"/>
      </w:rPr>
    </w:lvl>
    <w:lvl w:ilvl="7" w:tplc="2CCCD34E">
      <w:numFmt w:val="bullet"/>
      <w:lvlText w:val="•"/>
      <w:lvlJc w:val="left"/>
      <w:pPr>
        <w:ind w:left="7002" w:hanging="171"/>
      </w:pPr>
      <w:rPr>
        <w:rFonts w:hint="default"/>
        <w:lang w:val="es-ES" w:eastAsia="en-US" w:bidi="ar-SA"/>
      </w:rPr>
    </w:lvl>
    <w:lvl w:ilvl="8" w:tplc="D4E26582">
      <w:numFmt w:val="bullet"/>
      <w:lvlText w:val="•"/>
      <w:lvlJc w:val="left"/>
      <w:pPr>
        <w:ind w:left="7879" w:hanging="171"/>
      </w:pPr>
      <w:rPr>
        <w:rFonts w:hint="default"/>
        <w:lang w:val="es-ES" w:eastAsia="en-US" w:bidi="ar-SA"/>
      </w:rPr>
    </w:lvl>
  </w:abstractNum>
  <w:abstractNum w:abstractNumId="1" w15:restartNumberingAfterBreak="0">
    <w:nsid w:val="7F8569B3"/>
    <w:multiLevelType w:val="hybridMultilevel"/>
    <w:tmpl w:val="7D86DD9C"/>
    <w:lvl w:ilvl="0" w:tplc="2C0A0001">
      <w:start w:val="1"/>
      <w:numFmt w:val="bullet"/>
      <w:lvlText w:val=""/>
      <w:lvlJc w:val="left"/>
      <w:pPr>
        <w:ind w:left="-711" w:hanging="360"/>
      </w:pPr>
      <w:rPr>
        <w:rFonts w:ascii="Symbol" w:hAnsi="Symbol" w:hint="default"/>
      </w:rPr>
    </w:lvl>
    <w:lvl w:ilvl="1" w:tplc="2C0A0003" w:tentative="1">
      <w:start w:val="1"/>
      <w:numFmt w:val="bullet"/>
      <w:lvlText w:val="o"/>
      <w:lvlJc w:val="left"/>
      <w:pPr>
        <w:ind w:left="9" w:hanging="360"/>
      </w:pPr>
      <w:rPr>
        <w:rFonts w:ascii="Courier New" w:hAnsi="Courier New" w:cs="Courier New" w:hint="default"/>
      </w:rPr>
    </w:lvl>
    <w:lvl w:ilvl="2" w:tplc="2C0A0005" w:tentative="1">
      <w:start w:val="1"/>
      <w:numFmt w:val="bullet"/>
      <w:lvlText w:val=""/>
      <w:lvlJc w:val="left"/>
      <w:pPr>
        <w:ind w:left="729" w:hanging="360"/>
      </w:pPr>
      <w:rPr>
        <w:rFonts w:ascii="Wingdings" w:hAnsi="Wingdings" w:hint="default"/>
      </w:rPr>
    </w:lvl>
    <w:lvl w:ilvl="3" w:tplc="2C0A0001" w:tentative="1">
      <w:start w:val="1"/>
      <w:numFmt w:val="bullet"/>
      <w:lvlText w:val=""/>
      <w:lvlJc w:val="left"/>
      <w:pPr>
        <w:ind w:left="1449" w:hanging="360"/>
      </w:pPr>
      <w:rPr>
        <w:rFonts w:ascii="Symbol" w:hAnsi="Symbol" w:hint="default"/>
      </w:rPr>
    </w:lvl>
    <w:lvl w:ilvl="4" w:tplc="2C0A0003" w:tentative="1">
      <w:start w:val="1"/>
      <w:numFmt w:val="bullet"/>
      <w:lvlText w:val="o"/>
      <w:lvlJc w:val="left"/>
      <w:pPr>
        <w:ind w:left="2169" w:hanging="360"/>
      </w:pPr>
      <w:rPr>
        <w:rFonts w:ascii="Courier New" w:hAnsi="Courier New" w:cs="Courier New" w:hint="default"/>
      </w:rPr>
    </w:lvl>
    <w:lvl w:ilvl="5" w:tplc="2C0A0005" w:tentative="1">
      <w:start w:val="1"/>
      <w:numFmt w:val="bullet"/>
      <w:lvlText w:val=""/>
      <w:lvlJc w:val="left"/>
      <w:pPr>
        <w:ind w:left="2889" w:hanging="360"/>
      </w:pPr>
      <w:rPr>
        <w:rFonts w:ascii="Wingdings" w:hAnsi="Wingdings" w:hint="default"/>
      </w:rPr>
    </w:lvl>
    <w:lvl w:ilvl="6" w:tplc="2C0A0001" w:tentative="1">
      <w:start w:val="1"/>
      <w:numFmt w:val="bullet"/>
      <w:lvlText w:val=""/>
      <w:lvlJc w:val="left"/>
      <w:pPr>
        <w:ind w:left="3609" w:hanging="360"/>
      </w:pPr>
      <w:rPr>
        <w:rFonts w:ascii="Symbol" w:hAnsi="Symbol" w:hint="default"/>
      </w:rPr>
    </w:lvl>
    <w:lvl w:ilvl="7" w:tplc="2C0A0003" w:tentative="1">
      <w:start w:val="1"/>
      <w:numFmt w:val="bullet"/>
      <w:lvlText w:val="o"/>
      <w:lvlJc w:val="left"/>
      <w:pPr>
        <w:ind w:left="4329" w:hanging="360"/>
      </w:pPr>
      <w:rPr>
        <w:rFonts w:ascii="Courier New" w:hAnsi="Courier New" w:cs="Courier New" w:hint="default"/>
      </w:rPr>
    </w:lvl>
    <w:lvl w:ilvl="8" w:tplc="2C0A0005" w:tentative="1">
      <w:start w:val="1"/>
      <w:numFmt w:val="bullet"/>
      <w:lvlText w:val=""/>
      <w:lvlJc w:val="left"/>
      <w:pPr>
        <w:ind w:left="5049" w:hanging="360"/>
      </w:pPr>
      <w:rPr>
        <w:rFonts w:ascii="Wingdings" w:hAnsi="Wingdings" w:hint="default"/>
      </w:rPr>
    </w:lvl>
  </w:abstractNum>
  <w:num w:numId="1" w16cid:durableId="261186942">
    <w:abstractNumId w:val="0"/>
  </w:num>
  <w:num w:numId="2" w16cid:durableId="1755123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6B"/>
    <w:rsid w:val="0002436C"/>
    <w:rsid w:val="00033747"/>
    <w:rsid w:val="000855D7"/>
    <w:rsid w:val="000C3591"/>
    <w:rsid w:val="0021470A"/>
    <w:rsid w:val="00242BCF"/>
    <w:rsid w:val="002B275E"/>
    <w:rsid w:val="002B2DA5"/>
    <w:rsid w:val="002E339E"/>
    <w:rsid w:val="00314BE9"/>
    <w:rsid w:val="003532E2"/>
    <w:rsid w:val="00356C3E"/>
    <w:rsid w:val="003A0163"/>
    <w:rsid w:val="004D5532"/>
    <w:rsid w:val="005350E9"/>
    <w:rsid w:val="00587E7E"/>
    <w:rsid w:val="005C2AF7"/>
    <w:rsid w:val="005F7B6B"/>
    <w:rsid w:val="00621931"/>
    <w:rsid w:val="00686AB2"/>
    <w:rsid w:val="006B2464"/>
    <w:rsid w:val="006F7E0B"/>
    <w:rsid w:val="007702BA"/>
    <w:rsid w:val="007A3BE0"/>
    <w:rsid w:val="007D7DD7"/>
    <w:rsid w:val="008673CC"/>
    <w:rsid w:val="0094680F"/>
    <w:rsid w:val="009A4DF9"/>
    <w:rsid w:val="009F2EDF"/>
    <w:rsid w:val="00A31221"/>
    <w:rsid w:val="00A514EF"/>
    <w:rsid w:val="00AA33FF"/>
    <w:rsid w:val="00AD6EC4"/>
    <w:rsid w:val="00BC5CA9"/>
    <w:rsid w:val="00CC756E"/>
    <w:rsid w:val="00DD0FAD"/>
    <w:rsid w:val="00E16CCD"/>
    <w:rsid w:val="00E50DB4"/>
    <w:rsid w:val="00E97AD5"/>
    <w:rsid w:val="00EF4AEE"/>
    <w:rsid w:val="00F02421"/>
    <w:rsid w:val="00FC31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BA60"/>
  <w15:chartTrackingRefBased/>
  <w15:docId w15:val="{F59E2840-730F-459E-9DDD-D67561F6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s-AR" w:eastAsia="en-US" w:bidi="ar-SA"/>
        <w14:ligatures w14:val="standardContextual"/>
      </w:rPr>
    </w:rPrDefault>
    <w:pPrDefault>
      <w:pPr>
        <w:spacing w:after="160"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AB2"/>
  </w:style>
  <w:style w:type="paragraph" w:styleId="Ttulo1">
    <w:name w:val="heading 1"/>
    <w:basedOn w:val="Normal"/>
    <w:next w:val="Normal"/>
    <w:link w:val="Ttulo1Car"/>
    <w:uiPriority w:val="9"/>
    <w:qFormat/>
    <w:rsid w:val="00AA3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3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33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33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33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33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33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33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33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33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33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33FF"/>
    <w:rPr>
      <w:rFonts w:ascii="Arial" w:eastAsiaTheme="majorEastAsia" w:hAnsi="Arial"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33FF"/>
    <w:rPr>
      <w:rFonts w:ascii="Arial" w:eastAsiaTheme="majorEastAsia" w:hAnsi="Arial" w:cstheme="majorBidi"/>
      <w:i/>
      <w:iCs/>
      <w:color w:val="0F4761" w:themeColor="accent1" w:themeShade="BF"/>
    </w:rPr>
  </w:style>
  <w:style w:type="character" w:customStyle="1" w:styleId="Ttulo5Car">
    <w:name w:val="Título 5 Car"/>
    <w:basedOn w:val="Fuentedeprrafopredeter"/>
    <w:link w:val="Ttulo5"/>
    <w:uiPriority w:val="9"/>
    <w:semiHidden/>
    <w:rsid w:val="00AA33FF"/>
    <w:rPr>
      <w:rFonts w:ascii="Arial" w:eastAsiaTheme="majorEastAsia" w:hAnsi="Arial" w:cstheme="majorBidi"/>
      <w:color w:val="0F4761" w:themeColor="accent1" w:themeShade="BF"/>
    </w:rPr>
  </w:style>
  <w:style w:type="character" w:customStyle="1" w:styleId="Ttulo6Car">
    <w:name w:val="Título 6 Car"/>
    <w:basedOn w:val="Fuentedeprrafopredeter"/>
    <w:link w:val="Ttulo6"/>
    <w:uiPriority w:val="9"/>
    <w:semiHidden/>
    <w:rsid w:val="00AA33FF"/>
    <w:rPr>
      <w:rFonts w:ascii="Arial" w:eastAsiaTheme="majorEastAsia" w:hAnsi="Arial" w:cstheme="majorBidi"/>
      <w:i/>
      <w:iCs/>
      <w:color w:val="595959" w:themeColor="text1" w:themeTint="A6"/>
    </w:rPr>
  </w:style>
  <w:style w:type="character" w:customStyle="1" w:styleId="Ttulo7Car">
    <w:name w:val="Título 7 Car"/>
    <w:basedOn w:val="Fuentedeprrafopredeter"/>
    <w:link w:val="Ttulo7"/>
    <w:uiPriority w:val="9"/>
    <w:semiHidden/>
    <w:rsid w:val="00AA33FF"/>
    <w:rPr>
      <w:rFonts w:ascii="Arial" w:eastAsiaTheme="majorEastAsia" w:hAnsi="Arial" w:cstheme="majorBidi"/>
      <w:color w:val="595959" w:themeColor="text1" w:themeTint="A6"/>
    </w:rPr>
  </w:style>
  <w:style w:type="character" w:customStyle="1" w:styleId="Ttulo8Car">
    <w:name w:val="Título 8 Car"/>
    <w:basedOn w:val="Fuentedeprrafopredeter"/>
    <w:link w:val="Ttulo8"/>
    <w:uiPriority w:val="9"/>
    <w:semiHidden/>
    <w:rsid w:val="00AA33FF"/>
    <w:rPr>
      <w:rFonts w:ascii="Arial" w:eastAsiaTheme="majorEastAsia" w:hAnsi="Arial" w:cstheme="majorBidi"/>
      <w:i/>
      <w:iCs/>
      <w:color w:val="272727" w:themeColor="text1" w:themeTint="D8"/>
    </w:rPr>
  </w:style>
  <w:style w:type="character" w:customStyle="1" w:styleId="Ttulo9Car">
    <w:name w:val="Título 9 Car"/>
    <w:basedOn w:val="Fuentedeprrafopredeter"/>
    <w:link w:val="Ttulo9"/>
    <w:uiPriority w:val="9"/>
    <w:semiHidden/>
    <w:rsid w:val="00AA33FF"/>
    <w:rPr>
      <w:rFonts w:ascii="Arial" w:eastAsiaTheme="majorEastAsia" w:hAnsi="Arial" w:cstheme="majorBidi"/>
      <w:color w:val="272727" w:themeColor="text1" w:themeTint="D8"/>
    </w:rPr>
  </w:style>
  <w:style w:type="paragraph" w:styleId="Ttulo">
    <w:name w:val="Title"/>
    <w:basedOn w:val="Normal"/>
    <w:next w:val="Normal"/>
    <w:link w:val="TtuloCar"/>
    <w:uiPriority w:val="10"/>
    <w:qFormat/>
    <w:rsid w:val="00AA33F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33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33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33FF"/>
    <w:rPr>
      <w:rFonts w:ascii="Arial" w:eastAsiaTheme="majorEastAsia" w:hAnsi="Arial" w:cstheme="majorBidi"/>
      <w:color w:val="595959" w:themeColor="text1" w:themeTint="A6"/>
      <w:spacing w:val="15"/>
      <w:sz w:val="28"/>
      <w:szCs w:val="28"/>
    </w:rPr>
  </w:style>
  <w:style w:type="paragraph" w:styleId="Prrafodelista">
    <w:name w:val="List Paragraph"/>
    <w:basedOn w:val="Normal"/>
    <w:uiPriority w:val="34"/>
    <w:qFormat/>
    <w:rsid w:val="00AA33FF"/>
    <w:pPr>
      <w:ind w:left="720"/>
      <w:contextualSpacing/>
    </w:pPr>
  </w:style>
  <w:style w:type="paragraph" w:styleId="Cita">
    <w:name w:val="Quote"/>
    <w:basedOn w:val="Normal"/>
    <w:next w:val="Normal"/>
    <w:link w:val="CitaCar"/>
    <w:uiPriority w:val="29"/>
    <w:qFormat/>
    <w:rsid w:val="00AA33FF"/>
    <w:pPr>
      <w:spacing w:before="160"/>
      <w:jc w:val="center"/>
    </w:pPr>
    <w:rPr>
      <w:i/>
      <w:iCs/>
      <w:color w:val="404040" w:themeColor="text1" w:themeTint="BF"/>
    </w:rPr>
  </w:style>
  <w:style w:type="character" w:customStyle="1" w:styleId="CitaCar">
    <w:name w:val="Cita Car"/>
    <w:basedOn w:val="Fuentedeprrafopredeter"/>
    <w:link w:val="Cita"/>
    <w:uiPriority w:val="29"/>
    <w:rsid w:val="00AA33FF"/>
    <w:rPr>
      <w:rFonts w:ascii="Arial" w:hAnsi="Arial"/>
      <w:i/>
      <w:iCs/>
      <w:color w:val="404040" w:themeColor="text1" w:themeTint="BF"/>
    </w:rPr>
  </w:style>
  <w:style w:type="paragraph" w:styleId="Citadestacada">
    <w:name w:val="Intense Quote"/>
    <w:basedOn w:val="Normal"/>
    <w:next w:val="Normal"/>
    <w:link w:val="CitadestacadaCar"/>
    <w:uiPriority w:val="30"/>
    <w:qFormat/>
    <w:rsid w:val="00AA3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33FF"/>
    <w:rPr>
      <w:rFonts w:ascii="Arial" w:hAnsi="Arial"/>
      <w:i/>
      <w:iCs/>
      <w:color w:val="0F4761" w:themeColor="accent1" w:themeShade="BF"/>
    </w:rPr>
  </w:style>
  <w:style w:type="character" w:styleId="nfasisintenso">
    <w:name w:val="Intense Emphasis"/>
    <w:basedOn w:val="Fuentedeprrafopredeter"/>
    <w:uiPriority w:val="21"/>
    <w:qFormat/>
    <w:rsid w:val="00AA33FF"/>
    <w:rPr>
      <w:i/>
      <w:iCs/>
      <w:color w:val="0F4761" w:themeColor="accent1" w:themeShade="BF"/>
    </w:rPr>
  </w:style>
  <w:style w:type="character" w:styleId="Referenciaintensa">
    <w:name w:val="Intense Reference"/>
    <w:basedOn w:val="Fuentedeprrafopredeter"/>
    <w:uiPriority w:val="32"/>
    <w:qFormat/>
    <w:rsid w:val="00AA33FF"/>
    <w:rPr>
      <w:b/>
      <w:bCs/>
      <w:smallCaps/>
      <w:color w:val="0F4761" w:themeColor="accent1" w:themeShade="BF"/>
      <w:spacing w:val="5"/>
    </w:rPr>
  </w:style>
  <w:style w:type="table" w:customStyle="1" w:styleId="TableNormal">
    <w:name w:val="Table Normal"/>
    <w:uiPriority w:val="2"/>
    <w:semiHidden/>
    <w:unhideWhenUsed/>
    <w:qFormat/>
    <w:rsid w:val="005F7B6B"/>
    <w:pPr>
      <w:widowControl w:val="0"/>
      <w:autoSpaceDE w:val="0"/>
      <w:autoSpaceDN w:val="0"/>
      <w:spacing w:after="0" w:line="240" w:lineRule="auto"/>
    </w:pPr>
    <w:rPr>
      <w:rFonts w:ascii="Calibri" w:hAnsi="Calibri"/>
      <w:kern w:val="0"/>
      <w:sz w:val="22"/>
      <w:szCs w:val="22"/>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16CCD"/>
    <w:pPr>
      <w:widowControl w:val="0"/>
      <w:autoSpaceDE w:val="0"/>
      <w:autoSpaceDN w:val="0"/>
      <w:spacing w:after="0" w:line="240" w:lineRule="auto"/>
    </w:pPr>
    <w:rPr>
      <w:rFonts w:ascii="Calibri" w:hAnsi="Calibri"/>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2023</Words>
  <Characters>11132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Schwartzer</dc:creator>
  <cp:keywords/>
  <dc:description/>
  <cp:lastModifiedBy>Florencia</cp:lastModifiedBy>
  <cp:revision>2</cp:revision>
  <dcterms:created xsi:type="dcterms:W3CDTF">2025-11-11T15:22:00Z</dcterms:created>
  <dcterms:modified xsi:type="dcterms:W3CDTF">2025-11-11T15:22:00Z</dcterms:modified>
</cp:coreProperties>
</file>