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4883" w14:textId="77777777" w:rsidR="00663A7D" w:rsidRPr="008E7029" w:rsidRDefault="000139EB" w:rsidP="006824C1">
      <w:pPr>
        <w:spacing w:after="0"/>
        <w:jc w:val="both"/>
        <w:rPr>
          <w:b/>
          <w:bCs/>
        </w:rPr>
      </w:pPr>
      <w:r w:rsidRPr="008E7029">
        <w:rPr>
          <w:b/>
          <w:bCs/>
        </w:rPr>
        <w:t>Hechos</w:t>
      </w:r>
      <w:r w:rsidR="0075127F" w:rsidRPr="008E7029">
        <w:rPr>
          <w:b/>
          <w:bCs/>
        </w:rPr>
        <w:t xml:space="preserve"> Económicos Relevantes en Argentina (01/04/2023 - 31/03/2024)</w:t>
      </w:r>
    </w:p>
    <w:p w14:paraId="57C7AF9B" w14:textId="77777777" w:rsidR="006824C1" w:rsidRDefault="006824C1" w:rsidP="006824C1">
      <w:pPr>
        <w:spacing w:after="0"/>
        <w:jc w:val="both"/>
      </w:pPr>
    </w:p>
    <w:p w14:paraId="304F1991" w14:textId="4E051AB4" w:rsidR="00DC3E2D" w:rsidRDefault="0075127F" w:rsidP="007C1086">
      <w:pPr>
        <w:spacing w:after="0"/>
        <w:jc w:val="both"/>
      </w:pPr>
      <w:r w:rsidRPr="0075127F">
        <w:t>Argentina enfrentó</w:t>
      </w:r>
      <w:r w:rsidR="00EE558C">
        <w:t>, en el período,</w:t>
      </w:r>
      <w:r w:rsidRPr="0075127F">
        <w:t xml:space="preserve"> una recesión profunda (-1.6% PIB 2023, extendida a -3.5% 2024), exacerbada por sequía residual, inflación récord (211.4% 2023) y crisis cambiaria. </w:t>
      </w:r>
    </w:p>
    <w:p w14:paraId="08034E2A" w14:textId="77777777" w:rsidR="007C1086" w:rsidRDefault="007C1086" w:rsidP="007C1086">
      <w:pPr>
        <w:spacing w:after="0"/>
        <w:jc w:val="both"/>
      </w:pPr>
    </w:p>
    <w:p w14:paraId="11F04D5F" w14:textId="77777777" w:rsidR="00DC3E2D" w:rsidRDefault="0075127F" w:rsidP="007C1086">
      <w:pPr>
        <w:spacing w:after="0"/>
        <w:jc w:val="both"/>
      </w:pPr>
      <w:r w:rsidRPr="0075127F">
        <w:t xml:space="preserve">El período culminó con la asunción de Javier Milei (diciembre 2023), quien implementó "shock </w:t>
      </w:r>
      <w:proofErr w:type="spellStart"/>
      <w:r w:rsidRPr="0075127F">
        <w:t>therapy</w:t>
      </w:r>
      <w:proofErr w:type="spellEnd"/>
      <w:r w:rsidRPr="0075127F">
        <w:t xml:space="preserve">": devaluación del 50%, ajuste fiscal y fin de emisión monetaria. </w:t>
      </w:r>
    </w:p>
    <w:p w14:paraId="319AEED4" w14:textId="77777777" w:rsidR="007C1086" w:rsidRDefault="007C1086" w:rsidP="007C1086">
      <w:pPr>
        <w:spacing w:after="0"/>
        <w:jc w:val="both"/>
      </w:pPr>
    </w:p>
    <w:p w14:paraId="4A64BF4C" w14:textId="6594A0F9" w:rsidR="0075127F" w:rsidRDefault="0075127F" w:rsidP="007C1086">
      <w:pPr>
        <w:spacing w:after="0"/>
        <w:jc w:val="both"/>
      </w:pPr>
      <w:r w:rsidRPr="0075127F">
        <w:t>Esto generó superávit fiscal primario (1.5% PIB 2024) y desinflación (de 25% mensual dic 2023 a ~4% mar 2024), pero contrajo actividad (-2.5% EMAE mar 2024) y elevó pobreza a 57% (ene 2024). Recuperación agrícola (+80% Q3 2024) impulsó rebote.</w:t>
      </w:r>
    </w:p>
    <w:p w14:paraId="58A20C73" w14:textId="77777777" w:rsidR="00663A7D" w:rsidRPr="0075127F" w:rsidRDefault="00663A7D" w:rsidP="006824C1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2036"/>
        <w:gridCol w:w="6228"/>
      </w:tblGrid>
      <w:tr w:rsidR="0075127F" w:rsidRPr="006824C1" w14:paraId="57A28BB5" w14:textId="77777777" w:rsidTr="005771A4">
        <w:trPr>
          <w:tblHeader/>
        </w:trPr>
        <w:tc>
          <w:tcPr>
            <w:tcW w:w="0" w:type="auto"/>
            <w:noWrap/>
            <w:vAlign w:val="center"/>
            <w:hideMark/>
          </w:tcPr>
          <w:p w14:paraId="160B9CB4" w14:textId="77777777" w:rsidR="0075127F" w:rsidRPr="006824C1" w:rsidRDefault="0075127F" w:rsidP="006824C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824C1">
              <w:rPr>
                <w:b/>
                <w:bCs/>
                <w:sz w:val="20"/>
                <w:szCs w:val="20"/>
              </w:rPr>
              <w:t>Trimestre</w:t>
            </w:r>
          </w:p>
        </w:tc>
        <w:tc>
          <w:tcPr>
            <w:tcW w:w="0" w:type="auto"/>
            <w:noWrap/>
            <w:vAlign w:val="center"/>
            <w:hideMark/>
          </w:tcPr>
          <w:p w14:paraId="568773EA" w14:textId="77777777" w:rsidR="0075127F" w:rsidRPr="006824C1" w:rsidRDefault="0075127F" w:rsidP="006824C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824C1">
              <w:rPr>
                <w:b/>
                <w:bCs/>
                <w:sz w:val="20"/>
                <w:szCs w:val="20"/>
              </w:rPr>
              <w:t>Evento Principal</w:t>
            </w:r>
          </w:p>
        </w:tc>
        <w:tc>
          <w:tcPr>
            <w:tcW w:w="0" w:type="auto"/>
            <w:noWrap/>
            <w:vAlign w:val="center"/>
            <w:hideMark/>
          </w:tcPr>
          <w:p w14:paraId="2576BFA3" w14:textId="77777777" w:rsidR="0075127F" w:rsidRPr="006824C1" w:rsidRDefault="0075127F" w:rsidP="006824C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824C1">
              <w:rPr>
                <w:b/>
                <w:bCs/>
                <w:sz w:val="20"/>
                <w:szCs w:val="20"/>
              </w:rPr>
              <w:t xml:space="preserve">Descripción </w:t>
            </w:r>
            <w:proofErr w:type="spellStart"/>
            <w:r w:rsidRPr="006824C1">
              <w:rPr>
                <w:b/>
                <w:bCs/>
                <w:sz w:val="20"/>
                <w:szCs w:val="20"/>
              </w:rPr>
              <w:t>y</w:t>
            </w:r>
            <w:proofErr w:type="spellEnd"/>
            <w:r w:rsidRPr="006824C1">
              <w:rPr>
                <w:b/>
                <w:bCs/>
                <w:sz w:val="20"/>
                <w:szCs w:val="20"/>
              </w:rPr>
              <w:t xml:space="preserve"> Impacto</w:t>
            </w:r>
          </w:p>
        </w:tc>
      </w:tr>
      <w:tr w:rsidR="0075127F" w:rsidRPr="006824C1" w14:paraId="3AD80DC3" w14:textId="77777777" w:rsidTr="005771A4">
        <w:tc>
          <w:tcPr>
            <w:tcW w:w="0" w:type="auto"/>
            <w:vAlign w:val="center"/>
            <w:hideMark/>
          </w:tcPr>
          <w:p w14:paraId="11D68123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Q2 2023 (Abr-Jun)</w:t>
            </w:r>
          </w:p>
        </w:tc>
        <w:tc>
          <w:tcPr>
            <w:tcW w:w="0" w:type="auto"/>
            <w:vAlign w:val="center"/>
            <w:hideMark/>
          </w:tcPr>
          <w:p w14:paraId="6D24E225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Recesión incipiente y sequía persistente</w:t>
            </w:r>
          </w:p>
        </w:tc>
        <w:tc>
          <w:tcPr>
            <w:tcW w:w="0" w:type="auto"/>
            <w:vAlign w:val="center"/>
            <w:hideMark/>
          </w:tcPr>
          <w:p w14:paraId="3B049BC1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 xml:space="preserve">PIB -5.1% </w:t>
            </w:r>
            <w:proofErr w:type="spellStart"/>
            <w:r w:rsidRPr="006824C1">
              <w:rPr>
                <w:sz w:val="20"/>
                <w:szCs w:val="20"/>
              </w:rPr>
              <w:t>i.a</w:t>
            </w:r>
            <w:proofErr w:type="spellEnd"/>
            <w:r w:rsidRPr="006824C1">
              <w:rPr>
                <w:sz w:val="20"/>
                <w:szCs w:val="20"/>
              </w:rPr>
              <w:t>. Q2 (INDEC); inflación mensual 7-8%, anual &gt;100%. Exportaciones agro -27% por sequía; actividad económica -4.3% abr-jun (vs 2022). Crecimiento sin agro +1.4%, pero consumo -6%. Reservas BCRA en mínimos (US$21.000M).</w:t>
            </w:r>
          </w:p>
        </w:tc>
      </w:tr>
      <w:tr w:rsidR="0075127F" w:rsidRPr="006824C1" w14:paraId="175AD27B" w14:textId="77777777" w:rsidTr="005771A4">
        <w:tc>
          <w:tcPr>
            <w:tcW w:w="0" w:type="auto"/>
            <w:vAlign w:val="center"/>
            <w:hideMark/>
          </w:tcPr>
          <w:p w14:paraId="0D94B2BB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Q3 2023 (Jul-</w:t>
            </w:r>
            <w:proofErr w:type="spellStart"/>
            <w:r w:rsidRPr="006824C1">
              <w:rPr>
                <w:sz w:val="20"/>
                <w:szCs w:val="20"/>
              </w:rPr>
              <w:t>Sep</w:t>
            </w:r>
            <w:proofErr w:type="spellEnd"/>
            <w:r w:rsidRPr="006824C1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996EF3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 xml:space="preserve">Agudización </w:t>
            </w:r>
            <w:proofErr w:type="spellStart"/>
            <w:r w:rsidRPr="006824C1">
              <w:rPr>
                <w:sz w:val="20"/>
                <w:szCs w:val="20"/>
              </w:rPr>
              <w:t>recesional</w:t>
            </w:r>
            <w:proofErr w:type="spellEnd"/>
            <w:r w:rsidRPr="006824C1">
              <w:rPr>
                <w:sz w:val="20"/>
                <w:szCs w:val="20"/>
              </w:rPr>
              <w:t xml:space="preserve"> y tensiones políticas</w:t>
            </w:r>
          </w:p>
        </w:tc>
        <w:tc>
          <w:tcPr>
            <w:tcW w:w="0" w:type="auto"/>
            <w:vAlign w:val="center"/>
            <w:hideMark/>
          </w:tcPr>
          <w:p w14:paraId="454230E6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 xml:space="preserve">EMAE -5.6% </w:t>
            </w:r>
            <w:proofErr w:type="spellStart"/>
            <w:r w:rsidRPr="006824C1">
              <w:rPr>
                <w:sz w:val="20"/>
                <w:szCs w:val="20"/>
              </w:rPr>
              <w:t>i.a</w:t>
            </w:r>
            <w:proofErr w:type="spellEnd"/>
            <w:r w:rsidRPr="006824C1">
              <w:rPr>
                <w:sz w:val="20"/>
                <w:szCs w:val="20"/>
              </w:rPr>
              <w:t xml:space="preserve">. </w:t>
            </w:r>
            <w:proofErr w:type="spellStart"/>
            <w:r w:rsidRPr="006824C1">
              <w:rPr>
                <w:sz w:val="20"/>
                <w:szCs w:val="20"/>
              </w:rPr>
              <w:t>sep</w:t>
            </w:r>
            <w:proofErr w:type="spellEnd"/>
            <w:r w:rsidRPr="006824C1">
              <w:rPr>
                <w:sz w:val="20"/>
                <w:szCs w:val="20"/>
              </w:rPr>
              <w:t>; recesión desde jun 2022 valle en mar 2024 (BCR). Inflación anual 138%; brecha cambiaria &gt;100%. Déficit fiscal primario -2.9% PIB; exportaciones totales +1.4% comercio, pero agro débil. Empleo formal +1.2%, pero informal &gt;40%.</w:t>
            </w:r>
          </w:p>
        </w:tc>
      </w:tr>
      <w:tr w:rsidR="0075127F" w:rsidRPr="006824C1" w14:paraId="739BA548" w14:textId="77777777" w:rsidTr="005771A4">
        <w:tc>
          <w:tcPr>
            <w:tcW w:w="0" w:type="auto"/>
            <w:vAlign w:val="center"/>
            <w:hideMark/>
          </w:tcPr>
          <w:p w14:paraId="124973E1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Q4 2023 (Oct-Dic)</w:t>
            </w:r>
          </w:p>
        </w:tc>
        <w:tc>
          <w:tcPr>
            <w:tcW w:w="0" w:type="auto"/>
            <w:vAlign w:val="center"/>
            <w:hideMark/>
          </w:tcPr>
          <w:p w14:paraId="26EF453F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Elecciones, devaluación y ajuste Milei</w:t>
            </w:r>
          </w:p>
        </w:tc>
        <w:tc>
          <w:tcPr>
            <w:tcW w:w="0" w:type="auto"/>
            <w:vAlign w:val="center"/>
            <w:hideMark/>
          </w:tcPr>
          <w:p w14:paraId="444058CE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 xml:space="preserve">Milei electo (oct); devaluación 50% (dic 13, peso a 800/USD), inflación mensual 25.5% dic (anual 211.4%). PIB -1.8% Q4; superávit primario ene 2024 (primer mes desde 2010). Cortes subsidios energía (-20% gasto público); reservas +US$5.000M </w:t>
            </w:r>
            <w:proofErr w:type="spellStart"/>
            <w:r w:rsidRPr="006824C1">
              <w:rPr>
                <w:sz w:val="20"/>
                <w:szCs w:val="20"/>
              </w:rPr>
              <w:t>post-devaluación</w:t>
            </w:r>
            <w:proofErr w:type="spellEnd"/>
            <w:r w:rsidRPr="006824C1">
              <w:rPr>
                <w:sz w:val="20"/>
                <w:szCs w:val="20"/>
              </w:rPr>
              <w:t>.</w:t>
            </w:r>
          </w:p>
        </w:tc>
      </w:tr>
      <w:tr w:rsidR="0075127F" w:rsidRPr="006824C1" w14:paraId="37B21AA2" w14:textId="77777777" w:rsidTr="005771A4">
        <w:tc>
          <w:tcPr>
            <w:tcW w:w="0" w:type="auto"/>
            <w:vAlign w:val="center"/>
            <w:hideMark/>
          </w:tcPr>
          <w:p w14:paraId="3520C22E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Q1 2024 (Ene-Mar)</w:t>
            </w:r>
          </w:p>
        </w:tc>
        <w:tc>
          <w:tcPr>
            <w:tcW w:w="0" w:type="auto"/>
            <w:vAlign w:val="center"/>
            <w:hideMark/>
          </w:tcPr>
          <w:p w14:paraId="44C61E7A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>Estabilización inicial y contracción</w:t>
            </w:r>
          </w:p>
        </w:tc>
        <w:tc>
          <w:tcPr>
            <w:tcW w:w="0" w:type="auto"/>
            <w:vAlign w:val="center"/>
            <w:hideMark/>
          </w:tcPr>
          <w:p w14:paraId="7F8BF7E5" w14:textId="77777777" w:rsidR="0075127F" w:rsidRPr="006824C1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6824C1">
              <w:rPr>
                <w:sz w:val="20"/>
                <w:szCs w:val="20"/>
              </w:rPr>
              <w:t xml:space="preserve">PIB -2.6% Q1; superávit fiscal primario 0.2% PIB (ene-mar), sin emisión neta BCRA. Inflación mensual ~13-20% (bajando a 4% mar); pobreza 53% H1. </w:t>
            </w:r>
            <w:proofErr w:type="gramStart"/>
            <w:r w:rsidRPr="006824C1">
              <w:rPr>
                <w:sz w:val="20"/>
                <w:szCs w:val="20"/>
              </w:rPr>
              <w:t>Recuperación agro</w:t>
            </w:r>
            <w:proofErr w:type="gramEnd"/>
            <w:r w:rsidRPr="006824C1">
              <w:rPr>
                <w:sz w:val="20"/>
                <w:szCs w:val="20"/>
              </w:rPr>
              <w:t xml:space="preserve"> +33% anual; actividad tocó fondo abr 2024. Inversión fija -10%, pero IED neto +US$8.888M 2024.</w:t>
            </w:r>
          </w:p>
        </w:tc>
      </w:tr>
    </w:tbl>
    <w:p w14:paraId="4A3CC36B" w14:textId="77777777" w:rsidR="006824C1" w:rsidRDefault="006824C1" w:rsidP="006824C1">
      <w:pPr>
        <w:spacing w:after="0"/>
        <w:jc w:val="both"/>
      </w:pPr>
    </w:p>
    <w:p w14:paraId="46B477DE" w14:textId="774E23D0" w:rsidR="0075127F" w:rsidRDefault="0075127F" w:rsidP="006824C1">
      <w:pPr>
        <w:spacing w:after="0"/>
        <w:jc w:val="both"/>
      </w:pPr>
      <w:r w:rsidRPr="0075127F">
        <w:t xml:space="preserve">En resumen, globalmente prevaleció resiliencia con divergencias; en Argentina, el "shock" Milei revirtió </w:t>
      </w:r>
      <w:r w:rsidR="002B74EC" w:rsidRPr="0075127F">
        <w:t>déficits,</w:t>
      </w:r>
      <w:r w:rsidRPr="0075127F">
        <w:t xml:space="preserve"> pero profundizó recesión inicial, con rebote desde </w:t>
      </w:r>
      <w:r w:rsidR="00986C0A">
        <w:t>Q</w:t>
      </w:r>
      <w:r w:rsidRPr="0075127F">
        <w:t xml:space="preserve">2 2024 (PIB +4% Q3). Pobreza bajó a 39% Q3 2024. </w:t>
      </w:r>
      <w:r w:rsidR="008E7029">
        <w:t>¿Cuál fue el contexto de la economía global</w:t>
      </w:r>
      <w:r w:rsidR="005771A4">
        <w:t>? Detallamos algunos hechos relevantes.</w:t>
      </w:r>
    </w:p>
    <w:p w14:paraId="108A35D4" w14:textId="77777777" w:rsidR="00596590" w:rsidRPr="0075127F" w:rsidRDefault="00596590" w:rsidP="006824C1">
      <w:pPr>
        <w:spacing w:after="0"/>
        <w:jc w:val="both"/>
      </w:pPr>
    </w:p>
    <w:p w14:paraId="258ADF23" w14:textId="77777777" w:rsidR="00596590" w:rsidRPr="001D2013" w:rsidRDefault="0075127F" w:rsidP="006824C1">
      <w:pPr>
        <w:spacing w:after="0"/>
        <w:jc w:val="both"/>
        <w:rPr>
          <w:b/>
          <w:bCs/>
        </w:rPr>
      </w:pPr>
      <w:r w:rsidRPr="001D2013">
        <w:rPr>
          <w:b/>
          <w:bCs/>
        </w:rPr>
        <w:t>Hechos Económicos Relevantes Globales (01/04/2023 - 31/03/2024)</w:t>
      </w:r>
    </w:p>
    <w:p w14:paraId="7DA6D9A8" w14:textId="77777777" w:rsidR="00596590" w:rsidRDefault="00596590" w:rsidP="006824C1">
      <w:pPr>
        <w:spacing w:after="0"/>
        <w:jc w:val="both"/>
      </w:pPr>
    </w:p>
    <w:p w14:paraId="2F5E4DB4" w14:textId="77777777" w:rsidR="005771A4" w:rsidRDefault="0075127F" w:rsidP="006824C1">
      <w:pPr>
        <w:spacing w:after="0"/>
        <w:jc w:val="both"/>
      </w:pPr>
      <w:r w:rsidRPr="0075127F">
        <w:t xml:space="preserve">Durante este período, la economía mundial mostró resiliencia frente a la desaceleración </w:t>
      </w:r>
      <w:proofErr w:type="spellStart"/>
      <w:r w:rsidRPr="0075127F">
        <w:t>post-pandemia</w:t>
      </w:r>
      <w:proofErr w:type="spellEnd"/>
      <w:r w:rsidRPr="0075127F">
        <w:t xml:space="preserve">, con un crecimiento global de 3,2% en 2023 según el FMI, aunque con divergencias regionales: las economías avanzadas crecieron 1,6%, mientras que las emergentes lo hicieron al 4,3%. </w:t>
      </w:r>
    </w:p>
    <w:p w14:paraId="219269D6" w14:textId="77777777" w:rsidR="005771A4" w:rsidRDefault="005771A4" w:rsidP="006824C1">
      <w:pPr>
        <w:spacing w:after="0"/>
        <w:jc w:val="both"/>
      </w:pPr>
    </w:p>
    <w:p w14:paraId="7B5869E2" w14:textId="4DC80316" w:rsidR="00EE5587" w:rsidRDefault="0075127F" w:rsidP="006824C1">
      <w:pPr>
        <w:spacing w:after="0"/>
        <w:jc w:val="both"/>
      </w:pPr>
      <w:r w:rsidRPr="0075127F">
        <w:t xml:space="preserve">La inflación global descendió de 6,8% en 2023 a proyecciones de 5,9% para 2024, gracias a la moderación de precios de </w:t>
      </w:r>
      <w:proofErr w:type="spellStart"/>
      <w:r w:rsidRPr="0075127F">
        <w:t>commodities</w:t>
      </w:r>
      <w:proofErr w:type="spellEnd"/>
      <w:r w:rsidRPr="0075127F">
        <w:t xml:space="preserve"> y políticas monetarias restrictivas. No se materializó una recesión global amplia, pero persisten riesgos como tensiones geopolíticas (guerra en Ucrania y Medio Oriente) y fragmentación comercial. </w:t>
      </w:r>
    </w:p>
    <w:p w14:paraId="0D2B3AE3" w14:textId="77777777" w:rsidR="00EE5587" w:rsidRDefault="00EE558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440"/>
        <w:gridCol w:w="5837"/>
      </w:tblGrid>
      <w:tr w:rsidR="0075127F" w:rsidRPr="00296D06" w14:paraId="66879A6E" w14:textId="77777777" w:rsidTr="00EE5587">
        <w:tc>
          <w:tcPr>
            <w:tcW w:w="0" w:type="auto"/>
            <w:noWrap/>
            <w:vAlign w:val="center"/>
            <w:hideMark/>
          </w:tcPr>
          <w:p w14:paraId="7E3983AD" w14:textId="77777777" w:rsidR="0075127F" w:rsidRPr="00296D06" w:rsidRDefault="0075127F" w:rsidP="00EE558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96D06">
              <w:rPr>
                <w:b/>
                <w:bCs/>
                <w:sz w:val="20"/>
                <w:szCs w:val="20"/>
              </w:rPr>
              <w:lastRenderedPageBreak/>
              <w:t>Trimestre</w:t>
            </w:r>
          </w:p>
        </w:tc>
        <w:tc>
          <w:tcPr>
            <w:tcW w:w="0" w:type="auto"/>
            <w:noWrap/>
            <w:vAlign w:val="center"/>
            <w:hideMark/>
          </w:tcPr>
          <w:p w14:paraId="7F7D8266" w14:textId="77777777" w:rsidR="0075127F" w:rsidRPr="00296D06" w:rsidRDefault="0075127F" w:rsidP="00EE558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96D06">
              <w:rPr>
                <w:b/>
                <w:bCs/>
                <w:sz w:val="20"/>
                <w:szCs w:val="20"/>
              </w:rPr>
              <w:t>Evento Principal</w:t>
            </w:r>
          </w:p>
        </w:tc>
        <w:tc>
          <w:tcPr>
            <w:tcW w:w="0" w:type="auto"/>
            <w:noWrap/>
            <w:vAlign w:val="center"/>
            <w:hideMark/>
          </w:tcPr>
          <w:p w14:paraId="0D007B51" w14:textId="77777777" w:rsidR="0075127F" w:rsidRPr="00296D06" w:rsidRDefault="0075127F" w:rsidP="00EE558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96D06">
              <w:rPr>
                <w:b/>
                <w:bCs/>
                <w:sz w:val="20"/>
                <w:szCs w:val="20"/>
              </w:rPr>
              <w:t xml:space="preserve">Descripción </w:t>
            </w:r>
            <w:proofErr w:type="spellStart"/>
            <w:r w:rsidRPr="00296D06">
              <w:rPr>
                <w:b/>
                <w:bCs/>
                <w:sz w:val="20"/>
                <w:szCs w:val="20"/>
              </w:rPr>
              <w:t>y</w:t>
            </w:r>
            <w:proofErr w:type="spellEnd"/>
            <w:r w:rsidRPr="00296D06">
              <w:rPr>
                <w:b/>
                <w:bCs/>
                <w:sz w:val="20"/>
                <w:szCs w:val="20"/>
              </w:rPr>
              <w:t xml:space="preserve"> Impacto</w:t>
            </w:r>
          </w:p>
        </w:tc>
      </w:tr>
      <w:tr w:rsidR="0075127F" w:rsidRPr="00296D06" w14:paraId="64E49643" w14:textId="77777777" w:rsidTr="00EE5587">
        <w:tc>
          <w:tcPr>
            <w:tcW w:w="0" w:type="auto"/>
            <w:vAlign w:val="center"/>
            <w:hideMark/>
          </w:tcPr>
          <w:p w14:paraId="7B3C5D27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Q2 2023 (Abr-Jun)</w:t>
            </w:r>
          </w:p>
        </w:tc>
        <w:tc>
          <w:tcPr>
            <w:tcW w:w="0" w:type="auto"/>
            <w:vAlign w:val="center"/>
            <w:hideMark/>
          </w:tcPr>
          <w:p w14:paraId="55CE9049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Desinflación en economías avanzadas y revisiones al alza de crecimiento</w:t>
            </w:r>
          </w:p>
        </w:tc>
        <w:tc>
          <w:tcPr>
            <w:tcW w:w="0" w:type="auto"/>
            <w:vAlign w:val="center"/>
            <w:hideMark/>
          </w:tcPr>
          <w:p w14:paraId="708228BE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 xml:space="preserve">Inflación global en descenso (6,8% anual 2023); Fed mantuvo tasas en 5,25%, PIB EE.UU. +2,1% Q2. FMI revisó al alza pronósticos a 3,0% para 2023, citando resiliencia laboral. Comercio mundial se recuperó +1,2% Q2, pero China desaceleró por sector inmobiliario. </w:t>
            </w:r>
          </w:p>
          <w:p w14:paraId="4C61F443" w14:textId="77777777" w:rsidR="0075127F" w:rsidRPr="00296D06" w:rsidRDefault="0075127F" w:rsidP="006824C1">
            <w:pPr>
              <w:spacing w:after="0"/>
              <w:jc w:val="both"/>
              <w:rPr>
                <w:vanish/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imf.org +1</w:t>
            </w:r>
          </w:p>
        </w:tc>
      </w:tr>
      <w:tr w:rsidR="0075127F" w:rsidRPr="00296D06" w14:paraId="014CF201" w14:textId="77777777" w:rsidTr="00EE5587">
        <w:tc>
          <w:tcPr>
            <w:tcW w:w="0" w:type="auto"/>
            <w:vAlign w:val="center"/>
            <w:hideMark/>
          </w:tcPr>
          <w:p w14:paraId="30658612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Q3 2023 (Jul-</w:t>
            </w:r>
            <w:proofErr w:type="spellStart"/>
            <w:r w:rsidRPr="00296D06">
              <w:rPr>
                <w:sz w:val="20"/>
                <w:szCs w:val="20"/>
              </w:rPr>
              <w:t>Sep</w:t>
            </w:r>
            <w:proofErr w:type="spellEnd"/>
            <w:r w:rsidRPr="00296D06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D53270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Desaceleración en China y pausa en subidas de tasas</w:t>
            </w:r>
          </w:p>
        </w:tc>
        <w:tc>
          <w:tcPr>
            <w:tcW w:w="0" w:type="auto"/>
            <w:vAlign w:val="center"/>
            <w:hideMark/>
          </w:tcPr>
          <w:p w14:paraId="2AFCBA9F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 xml:space="preserve">China creció 4,9% (por debajo de meta 5%), impactando </w:t>
            </w:r>
            <w:proofErr w:type="spellStart"/>
            <w:r w:rsidRPr="00296D06">
              <w:rPr>
                <w:sz w:val="20"/>
                <w:szCs w:val="20"/>
              </w:rPr>
              <w:t>commodities</w:t>
            </w:r>
            <w:proofErr w:type="spellEnd"/>
            <w:r w:rsidRPr="00296D06">
              <w:rPr>
                <w:sz w:val="20"/>
                <w:szCs w:val="20"/>
              </w:rPr>
              <w:t xml:space="preserve"> globales; exportaciones mundiales -5%. OECD proyectó 2,7% para 2024. Inflación </w:t>
            </w:r>
            <w:proofErr w:type="spellStart"/>
            <w:r w:rsidRPr="00296D06">
              <w:rPr>
                <w:sz w:val="20"/>
                <w:szCs w:val="20"/>
              </w:rPr>
              <w:t>core</w:t>
            </w:r>
            <w:proofErr w:type="spellEnd"/>
            <w:r w:rsidRPr="00296D06">
              <w:rPr>
                <w:sz w:val="20"/>
                <w:szCs w:val="20"/>
              </w:rPr>
              <w:t xml:space="preserve"> persistió en servicios (+4,5% EE.UU.), pero sin recesión amplia. </w:t>
            </w:r>
          </w:p>
          <w:p w14:paraId="3C9027A0" w14:textId="77777777" w:rsidR="0075127F" w:rsidRPr="00296D06" w:rsidRDefault="0075127F" w:rsidP="006824C1">
            <w:pPr>
              <w:spacing w:after="0"/>
              <w:jc w:val="both"/>
              <w:rPr>
                <w:vanish/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brookings.edu +1</w:t>
            </w:r>
          </w:p>
        </w:tc>
      </w:tr>
      <w:tr w:rsidR="0075127F" w:rsidRPr="00296D06" w14:paraId="0903E007" w14:textId="77777777" w:rsidTr="00EE5587">
        <w:tc>
          <w:tcPr>
            <w:tcW w:w="0" w:type="auto"/>
            <w:vAlign w:val="center"/>
            <w:hideMark/>
          </w:tcPr>
          <w:p w14:paraId="7FECD1C6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Q4 2023 (Oct-Dic)</w:t>
            </w:r>
          </w:p>
        </w:tc>
        <w:tc>
          <w:tcPr>
            <w:tcW w:w="0" w:type="auto"/>
            <w:vAlign w:val="center"/>
            <w:hideMark/>
          </w:tcPr>
          <w:p w14:paraId="3B3888B9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Elecciones globales y estabilización fiscal</w:t>
            </w:r>
          </w:p>
        </w:tc>
        <w:tc>
          <w:tcPr>
            <w:tcW w:w="0" w:type="auto"/>
            <w:vAlign w:val="center"/>
            <w:hideMark/>
          </w:tcPr>
          <w:p w14:paraId="02E206E4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 xml:space="preserve">Año de </w:t>
            </w:r>
            <w:proofErr w:type="spellStart"/>
            <w:r w:rsidRPr="00296D06">
              <w:rPr>
                <w:sz w:val="20"/>
                <w:szCs w:val="20"/>
              </w:rPr>
              <w:t>megaelecciones</w:t>
            </w:r>
            <w:proofErr w:type="spellEnd"/>
            <w:r w:rsidRPr="00296D06">
              <w:rPr>
                <w:sz w:val="20"/>
                <w:szCs w:val="20"/>
              </w:rPr>
              <w:t>; inflación global 6,8%, PIB mundial +3,5% H1 2023. EE.UU. creció 2,5% anual, evitando recesión. FMI pronosticó 3,1% para 2024, con riesgos de "</w:t>
            </w:r>
            <w:proofErr w:type="spellStart"/>
            <w:r w:rsidRPr="00296D06">
              <w:rPr>
                <w:sz w:val="20"/>
                <w:szCs w:val="20"/>
              </w:rPr>
              <w:t>stagflación</w:t>
            </w:r>
            <w:proofErr w:type="spellEnd"/>
            <w:r w:rsidRPr="00296D06">
              <w:rPr>
                <w:sz w:val="20"/>
                <w:szCs w:val="20"/>
              </w:rPr>
              <w:t xml:space="preserve">" por energía. </w:t>
            </w:r>
          </w:p>
          <w:p w14:paraId="342EF899" w14:textId="77777777" w:rsidR="0075127F" w:rsidRPr="00296D06" w:rsidRDefault="0075127F" w:rsidP="006824C1">
            <w:pPr>
              <w:spacing w:after="0"/>
              <w:jc w:val="both"/>
              <w:rPr>
                <w:vanish/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mckinsey.com +1</w:t>
            </w:r>
          </w:p>
        </w:tc>
      </w:tr>
      <w:tr w:rsidR="0075127F" w:rsidRPr="00296D06" w14:paraId="0B817987" w14:textId="77777777" w:rsidTr="00EE5587">
        <w:tc>
          <w:tcPr>
            <w:tcW w:w="0" w:type="auto"/>
            <w:vAlign w:val="center"/>
            <w:hideMark/>
          </w:tcPr>
          <w:p w14:paraId="74B619DF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Q1 2024 (Ene-Mar)</w:t>
            </w:r>
          </w:p>
        </w:tc>
        <w:tc>
          <w:tcPr>
            <w:tcW w:w="0" w:type="auto"/>
            <w:vAlign w:val="center"/>
            <w:hideMark/>
          </w:tcPr>
          <w:p w14:paraId="090B7C19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Recuperación frágil y primeros recortes de tasas</w:t>
            </w:r>
          </w:p>
        </w:tc>
        <w:tc>
          <w:tcPr>
            <w:tcW w:w="0" w:type="auto"/>
            <w:vAlign w:val="center"/>
            <w:hideMark/>
          </w:tcPr>
          <w:p w14:paraId="18A476C5" w14:textId="77777777" w:rsidR="0075127F" w:rsidRPr="00296D06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 xml:space="preserve">PIB global 3,2% cierre 2023; pronóstico 3,2% 2024. Inflación a 5,9%; Fed inició recortes en marzo. China +5,3% Q1, pero inmobiliario débil. Divergencias: avanzadas 1,6%, emergentes 4,2%. </w:t>
            </w:r>
          </w:p>
          <w:p w14:paraId="786D1311" w14:textId="77777777" w:rsidR="0075127F" w:rsidRPr="00296D06" w:rsidRDefault="0075127F" w:rsidP="006824C1">
            <w:pPr>
              <w:spacing w:after="0"/>
              <w:jc w:val="both"/>
              <w:rPr>
                <w:vanish/>
                <w:sz w:val="20"/>
                <w:szCs w:val="20"/>
              </w:rPr>
            </w:pPr>
            <w:r w:rsidRPr="00296D06">
              <w:rPr>
                <w:sz w:val="20"/>
                <w:szCs w:val="20"/>
              </w:rPr>
              <w:t>imf.org +2</w:t>
            </w:r>
          </w:p>
        </w:tc>
      </w:tr>
    </w:tbl>
    <w:p w14:paraId="3D968BF1" w14:textId="59A10E49" w:rsidR="0075127F" w:rsidRPr="0075127F" w:rsidRDefault="0075127F" w:rsidP="006824C1">
      <w:pPr>
        <w:spacing w:after="0"/>
        <w:jc w:val="both"/>
        <w:rPr>
          <w:vanish/>
        </w:rPr>
      </w:pPr>
    </w:p>
    <w:p w14:paraId="2CCF9AA3" w14:textId="77777777" w:rsidR="00090DAF" w:rsidRPr="0075127F" w:rsidRDefault="00090DAF" w:rsidP="006824C1">
      <w:pPr>
        <w:spacing w:after="0"/>
        <w:jc w:val="both"/>
      </w:pPr>
    </w:p>
    <w:p w14:paraId="7A88FE57" w14:textId="77777777" w:rsidR="00090DAF" w:rsidRPr="001D2013" w:rsidRDefault="0075127F" w:rsidP="006824C1">
      <w:pPr>
        <w:spacing w:after="0"/>
        <w:jc w:val="both"/>
        <w:rPr>
          <w:b/>
          <w:bCs/>
        </w:rPr>
      </w:pPr>
      <w:r w:rsidRPr="001D2013">
        <w:rPr>
          <w:b/>
          <w:bCs/>
        </w:rPr>
        <w:t>Comportamiento Económico Relevante de la Industria Argentina (01/04/2023 - 31/03/2024)</w:t>
      </w:r>
    </w:p>
    <w:p w14:paraId="2B3213C7" w14:textId="77777777" w:rsidR="00090DAF" w:rsidRDefault="00090DAF" w:rsidP="006824C1">
      <w:pPr>
        <w:spacing w:after="0"/>
        <w:jc w:val="both"/>
      </w:pPr>
    </w:p>
    <w:p w14:paraId="5863A82B" w14:textId="7CEBB76F" w:rsidR="00FA1929" w:rsidRDefault="0075127F" w:rsidP="006824C1">
      <w:pPr>
        <w:spacing w:after="0"/>
        <w:jc w:val="both"/>
      </w:pPr>
      <w:r w:rsidRPr="0075127F">
        <w:t>Durante el período abril 2023 - marzo 2024, la industria manufacturera argentina transitó de una fase de expansión moderada (impulsada por la recuperación postpandemia y demanda interna) a una contracción profunda, exacerbada por la sequía residual, inflación acelerada (&gt;100% anual</w:t>
      </w:r>
      <w:r w:rsidR="00FA1929">
        <w:t xml:space="preserve">) </w:t>
      </w:r>
      <w:r w:rsidRPr="0075127F">
        <w:t xml:space="preserve">y, especialmente, el "shock" de ajuste fiscal implementado por el gobierno de Javier Milei desde diciembre 2023 (devaluación del 50%, recortes en subsidios y gasto público). </w:t>
      </w:r>
    </w:p>
    <w:p w14:paraId="1F8107EE" w14:textId="77777777" w:rsidR="00FA1929" w:rsidRDefault="00FA1929" w:rsidP="006824C1">
      <w:pPr>
        <w:spacing w:after="0"/>
        <w:jc w:val="both"/>
      </w:pPr>
    </w:p>
    <w:p w14:paraId="62D3334C" w14:textId="77777777" w:rsidR="00FA1929" w:rsidRDefault="0075127F" w:rsidP="006824C1">
      <w:pPr>
        <w:spacing w:after="0"/>
        <w:jc w:val="both"/>
      </w:pPr>
      <w:r w:rsidRPr="0075127F">
        <w:t>Según el Índice de Producción Industrial Manufacturero (IPIM) del INDEC, el sector acumuló una caída interanual del -12,7% en el período (vs. 2022-2023), con 15 meses consecutivos de retroceso desde mayo 2023 hasta julio 2024 (extendiendo el impacto).</w:t>
      </w:r>
    </w:p>
    <w:p w14:paraId="215114F7" w14:textId="77777777" w:rsidR="00FA1929" w:rsidRDefault="00FA1929" w:rsidP="006824C1">
      <w:pPr>
        <w:spacing w:after="0"/>
        <w:jc w:val="both"/>
      </w:pPr>
    </w:p>
    <w:p w14:paraId="02A1EF83" w14:textId="77777777" w:rsidR="00AF17E5" w:rsidRDefault="0075127F" w:rsidP="006824C1">
      <w:pPr>
        <w:spacing w:after="0"/>
        <w:jc w:val="both"/>
      </w:pPr>
      <w:r w:rsidRPr="0075127F">
        <w:t xml:space="preserve">El empleo industrial formal se contrajo en ~38.500 puestos (noviembre 2023-agosto 2024), cerrando ~879 empresas, principalmente pymes. La utilización de capacidad instalada cayó al 60-65% promedio, reflejando debilidad en demanda interna (-6% consumo) y apertura importadora. </w:t>
      </w:r>
    </w:p>
    <w:p w14:paraId="34796987" w14:textId="77777777" w:rsidR="00AF17E5" w:rsidRDefault="00AF17E5" w:rsidP="006824C1">
      <w:pPr>
        <w:spacing w:after="0"/>
        <w:jc w:val="both"/>
      </w:pPr>
    </w:p>
    <w:p w14:paraId="0C5F60A3" w14:textId="77777777" w:rsidR="00AF17E5" w:rsidRDefault="0075127F" w:rsidP="006824C1">
      <w:pPr>
        <w:spacing w:after="0"/>
        <w:jc w:val="both"/>
      </w:pPr>
      <w:r w:rsidRPr="0075127F">
        <w:t>Sin embargo, sectores resilientes como alimentos y automotriz mitigaron caídas.</w:t>
      </w:r>
    </w:p>
    <w:p w14:paraId="3E50F381" w14:textId="77777777" w:rsidR="00AF17E5" w:rsidRDefault="00AF17E5" w:rsidP="006824C1">
      <w:pPr>
        <w:spacing w:after="0"/>
        <w:jc w:val="both"/>
      </w:pPr>
    </w:p>
    <w:p w14:paraId="38E1E03D" w14:textId="77777777" w:rsidR="00AF17E5" w:rsidRDefault="0075127F" w:rsidP="006824C1">
      <w:pPr>
        <w:spacing w:after="0"/>
        <w:jc w:val="both"/>
      </w:pPr>
      <w:r w:rsidRPr="0075127F">
        <w:t>El período coincidió con el último semestre de Alberto Fernández (hasta noviembre 2023), con crecimiento inicial, y el inicio de Milei, donde el ajuste (fin de emisión monetaria y subsidios energéticos) profundizó la recesión industrial (-1,7% PIB total 2023, -3,4% H1 2024), elevando costos (+30% insumos por devaluación) y precarizando empleo (informalidad &gt;40%).</w:t>
      </w:r>
    </w:p>
    <w:p w14:paraId="4001487C" w14:textId="77777777" w:rsidR="00AF17E5" w:rsidRDefault="00AF17E5" w:rsidP="006824C1">
      <w:pPr>
        <w:spacing w:after="0"/>
        <w:jc w:val="both"/>
      </w:pPr>
    </w:p>
    <w:p w14:paraId="5F78DCC1" w14:textId="73FC6F9E" w:rsidR="00856B5F" w:rsidRPr="0075127F" w:rsidRDefault="0075127F" w:rsidP="006824C1">
      <w:pPr>
        <w:spacing w:after="0"/>
        <w:jc w:val="both"/>
      </w:pPr>
      <w:r w:rsidRPr="00856B5F">
        <w:rPr>
          <w:b/>
          <w:bCs/>
        </w:rPr>
        <w:t>Evolución Trimestral del IPIM (Variaciones Interanuales, %)</w:t>
      </w:r>
    </w:p>
    <w:p w14:paraId="0CD9FB20" w14:textId="77777777" w:rsidR="00C66618" w:rsidRDefault="00C66618" w:rsidP="006824C1">
      <w:pPr>
        <w:spacing w:after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788"/>
        <w:gridCol w:w="1742"/>
        <w:gridCol w:w="1720"/>
        <w:gridCol w:w="2083"/>
      </w:tblGrid>
      <w:tr w:rsidR="00C66618" w:rsidRPr="00C66618" w14:paraId="4AD15C7D" w14:textId="77777777" w:rsidTr="003164D0">
        <w:trPr>
          <w:trHeight w:val="792"/>
          <w:tblHeader/>
        </w:trPr>
        <w:tc>
          <w:tcPr>
            <w:tcW w:w="1077" w:type="pct"/>
            <w:vAlign w:val="center"/>
            <w:hideMark/>
          </w:tcPr>
          <w:p w14:paraId="6BBBD653" w14:textId="77777777" w:rsidR="00C66618" w:rsidRPr="00C66618" w:rsidRDefault="00C66618" w:rsidP="00C666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lastRenderedPageBreak/>
              <w:t>Trimestre</w:t>
            </w:r>
          </w:p>
        </w:tc>
        <w:tc>
          <w:tcPr>
            <w:tcW w:w="956" w:type="pct"/>
            <w:vAlign w:val="center"/>
            <w:hideMark/>
          </w:tcPr>
          <w:p w14:paraId="201A1E2C" w14:textId="77777777" w:rsidR="00C66618" w:rsidRPr="00C66618" w:rsidRDefault="00C66618" w:rsidP="00C666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Período</w:t>
            </w:r>
          </w:p>
        </w:tc>
        <w:tc>
          <w:tcPr>
            <w:tcW w:w="932" w:type="pct"/>
            <w:vAlign w:val="center"/>
            <w:hideMark/>
          </w:tcPr>
          <w:p w14:paraId="250446BE" w14:textId="77777777" w:rsidR="00C66618" w:rsidRPr="00C66618" w:rsidRDefault="00C66618" w:rsidP="00C666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Variación General IPIM (</w:t>
            </w:r>
            <w:proofErr w:type="spellStart"/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i.a</w:t>
            </w:r>
            <w:proofErr w:type="spellEnd"/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.)</w:t>
            </w:r>
          </w:p>
        </w:tc>
        <w:tc>
          <w:tcPr>
            <w:tcW w:w="920" w:type="pct"/>
            <w:vAlign w:val="center"/>
            <w:hideMark/>
          </w:tcPr>
          <w:p w14:paraId="301AA8D0" w14:textId="77777777" w:rsidR="00C66618" w:rsidRPr="00C66618" w:rsidRDefault="00C66618" w:rsidP="00C666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Principales Impulsores Positivos</w:t>
            </w:r>
          </w:p>
        </w:tc>
        <w:tc>
          <w:tcPr>
            <w:tcW w:w="1114" w:type="pct"/>
            <w:vAlign w:val="center"/>
            <w:hideMark/>
          </w:tcPr>
          <w:p w14:paraId="09CAF979" w14:textId="77777777" w:rsidR="00C66618" w:rsidRPr="00C66618" w:rsidRDefault="00C66618" w:rsidP="00C666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Factores Negativos</w:t>
            </w:r>
          </w:p>
        </w:tc>
      </w:tr>
      <w:tr w:rsidR="00C66618" w:rsidRPr="00C66618" w14:paraId="04F16250" w14:textId="77777777" w:rsidTr="007D4A56">
        <w:trPr>
          <w:trHeight w:val="1584"/>
        </w:trPr>
        <w:tc>
          <w:tcPr>
            <w:tcW w:w="1077" w:type="pct"/>
            <w:vAlign w:val="center"/>
            <w:hideMark/>
          </w:tcPr>
          <w:p w14:paraId="5CD616D4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Q2 2023 (Abr-Jun)</w:t>
            </w:r>
          </w:p>
        </w:tc>
        <w:tc>
          <w:tcPr>
            <w:tcW w:w="956" w:type="pct"/>
            <w:vAlign w:val="center"/>
            <w:hideMark/>
          </w:tcPr>
          <w:p w14:paraId="1C36A0AE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Abr: +1,7%; May: +1,1%; Jun: +0,8% (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acum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. +1,2%)</w:t>
            </w:r>
          </w:p>
        </w:tc>
        <w:tc>
          <w:tcPr>
            <w:tcW w:w="932" w:type="pct"/>
            <w:vAlign w:val="center"/>
            <w:hideMark/>
          </w:tcPr>
          <w:p w14:paraId="76BEE8A2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Alimentos y bebidas (+4%), automotriz (+5%)</w:t>
            </w:r>
          </w:p>
        </w:tc>
        <w:tc>
          <w:tcPr>
            <w:tcW w:w="920" w:type="pct"/>
            <w:vAlign w:val="center"/>
            <w:hideMark/>
          </w:tcPr>
          <w:p w14:paraId="14EF7C40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 xml:space="preserve">Demanda interna 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post-pandemia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; exportaciones químicas (+10%)</w:t>
            </w:r>
          </w:p>
        </w:tc>
        <w:tc>
          <w:tcPr>
            <w:tcW w:w="1114" w:type="pct"/>
            <w:vAlign w:val="center"/>
            <w:hideMark/>
          </w:tcPr>
          <w:p w14:paraId="427E5E38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Sequía residual (- impacto agroindustria); inflación insumos (+20%)</w:t>
            </w:r>
          </w:p>
        </w:tc>
      </w:tr>
      <w:tr w:rsidR="00C66618" w:rsidRPr="00C66618" w14:paraId="4435FCB7" w14:textId="77777777" w:rsidTr="007D4A56">
        <w:trPr>
          <w:trHeight w:val="1056"/>
        </w:trPr>
        <w:tc>
          <w:tcPr>
            <w:tcW w:w="1077" w:type="pct"/>
            <w:vAlign w:val="center"/>
            <w:hideMark/>
          </w:tcPr>
          <w:p w14:paraId="3B5553FB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Q3 2023 (Jul-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Sep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)</w:t>
            </w:r>
          </w:p>
        </w:tc>
        <w:tc>
          <w:tcPr>
            <w:tcW w:w="956" w:type="pct"/>
            <w:vAlign w:val="center"/>
            <w:hideMark/>
          </w:tcPr>
          <w:p w14:paraId="53839182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Jul: -0,5%; Ago: -1,2%; Sep: -2,0% (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acum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 xml:space="preserve">. -0,9% 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ene-sep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)</w:t>
            </w:r>
          </w:p>
        </w:tc>
        <w:tc>
          <w:tcPr>
            <w:tcW w:w="932" w:type="pct"/>
            <w:vAlign w:val="center"/>
            <w:hideMark/>
          </w:tcPr>
          <w:p w14:paraId="79721372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Siderurgia (+2%); plásticos (+3%)</w:t>
            </w:r>
          </w:p>
        </w:tc>
        <w:tc>
          <w:tcPr>
            <w:tcW w:w="920" w:type="pct"/>
            <w:vAlign w:val="center"/>
            <w:hideMark/>
          </w:tcPr>
          <w:p w14:paraId="2860F9D9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Inversión fija residual (+2%)</w:t>
            </w:r>
          </w:p>
        </w:tc>
        <w:tc>
          <w:tcPr>
            <w:tcW w:w="1114" w:type="pct"/>
            <w:vAlign w:val="center"/>
            <w:hideMark/>
          </w:tcPr>
          <w:p w14:paraId="2B5DB002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Recesión incipiente; brecha cambiaria &gt;100%</w:t>
            </w:r>
          </w:p>
        </w:tc>
      </w:tr>
      <w:tr w:rsidR="00C66618" w:rsidRPr="00C66618" w14:paraId="2DCF171F" w14:textId="77777777" w:rsidTr="007D4A56">
        <w:trPr>
          <w:trHeight w:val="1056"/>
        </w:trPr>
        <w:tc>
          <w:tcPr>
            <w:tcW w:w="1077" w:type="pct"/>
            <w:vAlign w:val="center"/>
            <w:hideMark/>
          </w:tcPr>
          <w:p w14:paraId="662CD6F7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Q4 2023 (Oct-Dic)</w:t>
            </w:r>
          </w:p>
        </w:tc>
        <w:tc>
          <w:tcPr>
            <w:tcW w:w="956" w:type="pct"/>
            <w:vAlign w:val="center"/>
            <w:hideMark/>
          </w:tcPr>
          <w:p w14:paraId="613F9D71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 xml:space="preserve">Oct: -3,5%; Nov: -5,0%; 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Dic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: -12,8% (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acum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 xml:space="preserve">. -3,0% 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ene-dic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 w:eastAsia="es-AR"/>
                <w14:ligatures w14:val="none"/>
              </w:rPr>
              <w:t>)</w:t>
            </w:r>
          </w:p>
        </w:tc>
        <w:tc>
          <w:tcPr>
            <w:tcW w:w="932" w:type="pct"/>
            <w:vAlign w:val="center"/>
            <w:hideMark/>
          </w:tcPr>
          <w:p w14:paraId="6087DE7A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Alimentos (+1%); refinación petróleo (+4%)</w:t>
            </w:r>
          </w:p>
        </w:tc>
        <w:tc>
          <w:tcPr>
            <w:tcW w:w="920" w:type="pct"/>
            <w:vAlign w:val="center"/>
            <w:hideMark/>
          </w:tcPr>
          <w:p w14:paraId="576ED3C6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 xml:space="preserve">Políticas 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pre-electorales</w:t>
            </w:r>
            <w:proofErr w:type="spellEnd"/>
          </w:p>
        </w:tc>
        <w:tc>
          <w:tcPr>
            <w:tcW w:w="1114" w:type="pct"/>
            <w:vAlign w:val="center"/>
            <w:hideMark/>
          </w:tcPr>
          <w:p w14:paraId="51BF2A85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Devaluación dic 2023 (50%); inflación 25,5% mensual dic</w:t>
            </w:r>
          </w:p>
        </w:tc>
      </w:tr>
      <w:tr w:rsidR="00C66618" w:rsidRPr="00C66618" w14:paraId="37B7C105" w14:textId="77777777" w:rsidTr="007D4A56">
        <w:trPr>
          <w:trHeight w:val="1320"/>
        </w:trPr>
        <w:tc>
          <w:tcPr>
            <w:tcW w:w="1077" w:type="pct"/>
            <w:vAlign w:val="center"/>
            <w:hideMark/>
          </w:tcPr>
          <w:p w14:paraId="7CB6BBD4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Q1 2024 (Ene-Mar)</w:t>
            </w:r>
          </w:p>
        </w:tc>
        <w:tc>
          <w:tcPr>
            <w:tcW w:w="956" w:type="pct"/>
            <w:vAlign w:val="center"/>
            <w:hideMark/>
          </w:tcPr>
          <w:p w14:paraId="09509D5E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Ene: -15,8%; Feb: -9,8%; Mar: -21,2% (</w:t>
            </w:r>
            <w:proofErr w:type="spellStart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acum</w:t>
            </w:r>
            <w:proofErr w:type="spellEnd"/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. -14,8% ene-mar)</w:t>
            </w:r>
          </w:p>
        </w:tc>
        <w:tc>
          <w:tcPr>
            <w:tcW w:w="932" w:type="pct"/>
            <w:vAlign w:val="center"/>
            <w:hideMark/>
          </w:tcPr>
          <w:p w14:paraId="74B1E19B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Automotriz (+2% ene); minerales no metálicos (+1%)</w:t>
            </w:r>
          </w:p>
        </w:tc>
        <w:tc>
          <w:tcPr>
            <w:tcW w:w="920" w:type="pct"/>
            <w:vAlign w:val="center"/>
            <w:hideMark/>
          </w:tcPr>
          <w:p w14:paraId="6728FBEE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Rebote exportador Brasil</w:t>
            </w:r>
          </w:p>
        </w:tc>
        <w:tc>
          <w:tcPr>
            <w:tcW w:w="1114" w:type="pct"/>
            <w:vAlign w:val="center"/>
            <w:hideMark/>
          </w:tcPr>
          <w:p w14:paraId="2A55C6C8" w14:textId="77777777" w:rsidR="00C66618" w:rsidRPr="00C66618" w:rsidRDefault="00C66618" w:rsidP="00C6661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  <w:r w:rsidRPr="00C66618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  <w:t>Ajuste fiscal (-20% gasto); caída demanda (-18,9% pymes); 14/16 divisiones en baja</w:t>
            </w:r>
          </w:p>
        </w:tc>
      </w:tr>
    </w:tbl>
    <w:p w14:paraId="2122C31B" w14:textId="77777777" w:rsidR="00C66618" w:rsidRDefault="00C66618" w:rsidP="006824C1">
      <w:pPr>
        <w:spacing w:after="0"/>
        <w:jc w:val="both"/>
      </w:pPr>
    </w:p>
    <w:p w14:paraId="0F4ED384" w14:textId="1CD4E74F" w:rsidR="0075127F" w:rsidRPr="001D2013" w:rsidRDefault="0075127F" w:rsidP="006824C1">
      <w:pPr>
        <w:spacing w:after="0"/>
        <w:jc w:val="both"/>
        <w:rPr>
          <w:b/>
          <w:bCs/>
        </w:rPr>
      </w:pPr>
      <w:r w:rsidRPr="001D2013">
        <w:rPr>
          <w:b/>
          <w:bCs/>
        </w:rPr>
        <w:t>Desempeño por Sectores Clave (Variaciones Interanuales Promedio, %)</w:t>
      </w:r>
    </w:p>
    <w:p w14:paraId="6337215E" w14:textId="77777777" w:rsidR="001163F0" w:rsidRPr="0075127F" w:rsidRDefault="001163F0" w:rsidP="006824C1">
      <w:pPr>
        <w:spacing w:after="0"/>
        <w:jc w:val="both"/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1729"/>
        <w:gridCol w:w="4822"/>
      </w:tblGrid>
      <w:tr w:rsidR="0075127F" w:rsidRPr="001163F0" w14:paraId="525E20C8" w14:textId="77777777" w:rsidTr="001D2013">
        <w:tc>
          <w:tcPr>
            <w:tcW w:w="2807" w:type="dxa"/>
            <w:noWrap/>
            <w:vAlign w:val="center"/>
            <w:hideMark/>
          </w:tcPr>
          <w:p w14:paraId="5E153190" w14:textId="77777777" w:rsidR="0075127F" w:rsidRPr="001163F0" w:rsidRDefault="0075127F" w:rsidP="001163F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63F0">
              <w:rPr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1729" w:type="dxa"/>
            <w:noWrap/>
            <w:vAlign w:val="center"/>
            <w:hideMark/>
          </w:tcPr>
          <w:p w14:paraId="6E1B4D82" w14:textId="77777777" w:rsidR="0075127F" w:rsidRPr="001163F0" w:rsidRDefault="0075127F" w:rsidP="001163F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63F0">
              <w:rPr>
                <w:b/>
                <w:bCs/>
                <w:sz w:val="20"/>
                <w:szCs w:val="20"/>
              </w:rPr>
              <w:t>Caída Acumulada (Abr 2023-Mar 2024)</w:t>
            </w:r>
          </w:p>
        </w:tc>
        <w:tc>
          <w:tcPr>
            <w:tcW w:w="4822" w:type="dxa"/>
            <w:noWrap/>
            <w:vAlign w:val="center"/>
            <w:hideMark/>
          </w:tcPr>
          <w:p w14:paraId="28795928" w14:textId="77777777" w:rsidR="0075127F" w:rsidRPr="001163F0" w:rsidRDefault="0075127F" w:rsidP="001163F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63F0">
              <w:rPr>
                <w:b/>
                <w:bCs/>
                <w:sz w:val="20"/>
                <w:szCs w:val="20"/>
              </w:rPr>
              <w:t>Notas Relevantes</w:t>
            </w:r>
          </w:p>
        </w:tc>
      </w:tr>
      <w:tr w:rsidR="0075127F" w:rsidRPr="001163F0" w14:paraId="2D4B4AA7" w14:textId="77777777" w:rsidTr="001D2013">
        <w:tc>
          <w:tcPr>
            <w:tcW w:w="2807" w:type="dxa"/>
            <w:vAlign w:val="center"/>
            <w:hideMark/>
          </w:tcPr>
          <w:p w14:paraId="001C7CEA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Alimentos y Bebidas</w:t>
            </w:r>
          </w:p>
        </w:tc>
        <w:tc>
          <w:tcPr>
            <w:tcW w:w="1729" w:type="dxa"/>
            <w:vAlign w:val="center"/>
            <w:hideMark/>
          </w:tcPr>
          <w:p w14:paraId="5FF0D1D5" w14:textId="77777777" w:rsidR="0075127F" w:rsidRPr="001163F0" w:rsidRDefault="0075127F" w:rsidP="001D2013">
            <w:pPr>
              <w:spacing w:after="0"/>
              <w:jc w:val="center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-2,0%</w:t>
            </w:r>
          </w:p>
        </w:tc>
        <w:tc>
          <w:tcPr>
            <w:tcW w:w="4822" w:type="dxa"/>
            <w:vAlign w:val="center"/>
            <w:hideMark/>
          </w:tcPr>
          <w:p w14:paraId="34AEB465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Resiliente (+4% Q2 2023); mayor ponderador (25%); impacto menor por demanda esencial</w:t>
            </w:r>
          </w:p>
        </w:tc>
      </w:tr>
      <w:tr w:rsidR="0075127F" w:rsidRPr="001163F0" w14:paraId="743F2DFB" w14:textId="77777777" w:rsidTr="001D2013">
        <w:tc>
          <w:tcPr>
            <w:tcW w:w="2807" w:type="dxa"/>
            <w:vAlign w:val="center"/>
            <w:hideMark/>
          </w:tcPr>
          <w:p w14:paraId="3C7BB8D7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Automotriz</w:t>
            </w:r>
          </w:p>
        </w:tc>
        <w:tc>
          <w:tcPr>
            <w:tcW w:w="1729" w:type="dxa"/>
            <w:vAlign w:val="center"/>
            <w:hideMark/>
          </w:tcPr>
          <w:p w14:paraId="716EF794" w14:textId="77777777" w:rsidR="0075127F" w:rsidRPr="001163F0" w:rsidRDefault="0075127F" w:rsidP="001D2013">
            <w:pPr>
              <w:spacing w:after="0"/>
              <w:jc w:val="center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-10,5%</w:t>
            </w:r>
          </w:p>
        </w:tc>
        <w:tc>
          <w:tcPr>
            <w:tcW w:w="4822" w:type="dxa"/>
            <w:vAlign w:val="center"/>
            <w:hideMark/>
          </w:tcPr>
          <w:p w14:paraId="491CE30C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Producción vehículos -15% Q1 2024; exportaciones -8% a Brasil, pero +2% ene 2024</w:t>
            </w:r>
          </w:p>
        </w:tc>
      </w:tr>
      <w:tr w:rsidR="0075127F" w:rsidRPr="001163F0" w14:paraId="1DC3F0EC" w14:textId="77777777" w:rsidTr="001D2013">
        <w:tc>
          <w:tcPr>
            <w:tcW w:w="2807" w:type="dxa"/>
            <w:vAlign w:val="center"/>
            <w:hideMark/>
          </w:tcPr>
          <w:p w14:paraId="36D3E23B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Siderurgia/Metalmecánica</w:t>
            </w:r>
          </w:p>
        </w:tc>
        <w:tc>
          <w:tcPr>
            <w:tcW w:w="1729" w:type="dxa"/>
            <w:vAlign w:val="center"/>
            <w:hideMark/>
          </w:tcPr>
          <w:p w14:paraId="799AC892" w14:textId="77777777" w:rsidR="0075127F" w:rsidRPr="001163F0" w:rsidRDefault="0075127F" w:rsidP="001D2013">
            <w:pPr>
              <w:spacing w:after="0"/>
              <w:jc w:val="center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-17,0%</w:t>
            </w:r>
          </w:p>
        </w:tc>
        <w:tc>
          <w:tcPr>
            <w:tcW w:w="4822" w:type="dxa"/>
            <w:vAlign w:val="center"/>
            <w:hideMark/>
          </w:tcPr>
          <w:p w14:paraId="420D92C2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 xml:space="preserve">Acero crudo -19,3%; productos metal -15,2%; golpe por costos energía </w:t>
            </w:r>
            <w:proofErr w:type="spellStart"/>
            <w:r w:rsidRPr="001163F0">
              <w:rPr>
                <w:sz w:val="20"/>
                <w:szCs w:val="20"/>
              </w:rPr>
              <w:t>post-subsidios</w:t>
            </w:r>
            <w:proofErr w:type="spellEnd"/>
          </w:p>
        </w:tc>
      </w:tr>
      <w:tr w:rsidR="0075127F" w:rsidRPr="001163F0" w14:paraId="72CE76B8" w14:textId="77777777" w:rsidTr="001D2013">
        <w:tc>
          <w:tcPr>
            <w:tcW w:w="2807" w:type="dxa"/>
            <w:vAlign w:val="center"/>
            <w:hideMark/>
          </w:tcPr>
          <w:p w14:paraId="00FE5C6A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Químicos y Plásticos</w:t>
            </w:r>
          </w:p>
        </w:tc>
        <w:tc>
          <w:tcPr>
            <w:tcW w:w="1729" w:type="dxa"/>
            <w:vAlign w:val="center"/>
            <w:hideMark/>
          </w:tcPr>
          <w:p w14:paraId="392BF758" w14:textId="77777777" w:rsidR="0075127F" w:rsidRPr="001163F0" w:rsidRDefault="0075127F" w:rsidP="001D2013">
            <w:pPr>
              <w:spacing w:after="0"/>
              <w:jc w:val="center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-12,0%</w:t>
            </w:r>
          </w:p>
        </w:tc>
        <w:tc>
          <w:tcPr>
            <w:tcW w:w="4822" w:type="dxa"/>
            <w:vAlign w:val="center"/>
            <w:hideMark/>
          </w:tcPr>
          <w:p w14:paraId="66BCC495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-10% ene 2024; beneficiado inicialmente por exportaciones, pero devaluación erosionó márgenes</w:t>
            </w:r>
          </w:p>
        </w:tc>
      </w:tr>
      <w:tr w:rsidR="0075127F" w:rsidRPr="001163F0" w14:paraId="798F6523" w14:textId="77777777" w:rsidTr="001D2013">
        <w:tc>
          <w:tcPr>
            <w:tcW w:w="2807" w:type="dxa"/>
            <w:vAlign w:val="center"/>
            <w:hideMark/>
          </w:tcPr>
          <w:p w14:paraId="75AD74F0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Textil y Calzado</w:t>
            </w:r>
          </w:p>
        </w:tc>
        <w:tc>
          <w:tcPr>
            <w:tcW w:w="1729" w:type="dxa"/>
            <w:vAlign w:val="center"/>
            <w:hideMark/>
          </w:tcPr>
          <w:p w14:paraId="1A6C2462" w14:textId="77777777" w:rsidR="0075127F" w:rsidRPr="001163F0" w:rsidRDefault="0075127F" w:rsidP="001D2013">
            <w:pPr>
              <w:spacing w:after="0"/>
              <w:jc w:val="center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-19,0%</w:t>
            </w:r>
          </w:p>
        </w:tc>
        <w:tc>
          <w:tcPr>
            <w:tcW w:w="4822" w:type="dxa"/>
            <w:vAlign w:val="center"/>
            <w:hideMark/>
          </w:tcPr>
          <w:p w14:paraId="41BC8D8E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Caída por importaciones (+22% marroquinería); cierre plantas en norte (La Rioja, Santiago del Estero)</w:t>
            </w:r>
          </w:p>
        </w:tc>
      </w:tr>
      <w:tr w:rsidR="0075127F" w:rsidRPr="001163F0" w14:paraId="69FDB457" w14:textId="77777777" w:rsidTr="001D2013">
        <w:tc>
          <w:tcPr>
            <w:tcW w:w="2807" w:type="dxa"/>
            <w:vAlign w:val="center"/>
            <w:hideMark/>
          </w:tcPr>
          <w:p w14:paraId="0D27E6C8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Madera, Papel e Impresión</w:t>
            </w:r>
          </w:p>
        </w:tc>
        <w:tc>
          <w:tcPr>
            <w:tcW w:w="1729" w:type="dxa"/>
            <w:vAlign w:val="center"/>
            <w:hideMark/>
          </w:tcPr>
          <w:p w14:paraId="4ECD2BE5" w14:textId="77777777" w:rsidR="0075127F" w:rsidRPr="001163F0" w:rsidRDefault="0075127F" w:rsidP="001D2013">
            <w:pPr>
              <w:spacing w:after="0"/>
              <w:jc w:val="center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-24,2%</w:t>
            </w:r>
          </w:p>
        </w:tc>
        <w:tc>
          <w:tcPr>
            <w:tcW w:w="4822" w:type="dxa"/>
            <w:vAlign w:val="center"/>
            <w:hideMark/>
          </w:tcPr>
          <w:p w14:paraId="3019D499" w14:textId="77777777" w:rsidR="0075127F" w:rsidRPr="001163F0" w:rsidRDefault="0075127F" w:rsidP="006824C1">
            <w:pPr>
              <w:spacing w:after="0"/>
              <w:jc w:val="both"/>
              <w:rPr>
                <w:sz w:val="20"/>
                <w:szCs w:val="20"/>
              </w:rPr>
            </w:pPr>
            <w:r w:rsidRPr="001163F0">
              <w:rPr>
                <w:sz w:val="20"/>
                <w:szCs w:val="20"/>
              </w:rPr>
              <w:t>Mayor contracción; impacto apertura comercial y demanda construcción (-20%)</w:t>
            </w:r>
          </w:p>
        </w:tc>
      </w:tr>
    </w:tbl>
    <w:p w14:paraId="4C8ECC76" w14:textId="77777777" w:rsidR="001D2013" w:rsidRDefault="001D2013" w:rsidP="001D2013">
      <w:pPr>
        <w:spacing w:after="0"/>
        <w:jc w:val="both"/>
      </w:pPr>
    </w:p>
    <w:p w14:paraId="39CD8991" w14:textId="44C0C5D7" w:rsidR="001D2013" w:rsidRPr="001D2013" w:rsidRDefault="001D2013" w:rsidP="001D2013">
      <w:pPr>
        <w:spacing w:after="0"/>
        <w:jc w:val="both"/>
        <w:rPr>
          <w:b/>
          <w:bCs/>
        </w:rPr>
      </w:pPr>
      <w:r w:rsidRPr="001D2013">
        <w:rPr>
          <w:b/>
          <w:bCs/>
        </w:rPr>
        <w:t>Aspectos Salientes</w:t>
      </w:r>
    </w:p>
    <w:p w14:paraId="7080A201" w14:textId="77777777" w:rsidR="001D2013" w:rsidRDefault="001D2013" w:rsidP="001D2013">
      <w:pPr>
        <w:spacing w:after="0"/>
        <w:jc w:val="both"/>
      </w:pPr>
    </w:p>
    <w:p w14:paraId="22249A59" w14:textId="6E2CED0C" w:rsidR="0075127F" w:rsidRPr="0075127F" w:rsidRDefault="0075127F" w:rsidP="001D2013">
      <w:pPr>
        <w:pStyle w:val="Prrafodelista"/>
        <w:numPr>
          <w:ilvl w:val="0"/>
          <w:numId w:val="3"/>
        </w:numPr>
        <w:spacing w:after="0"/>
        <w:jc w:val="both"/>
      </w:pPr>
      <w:r w:rsidRPr="004438CE">
        <w:rPr>
          <w:b/>
          <w:bCs/>
        </w:rPr>
        <w:t>Positivos (iniciales)</w:t>
      </w:r>
      <w:r w:rsidRPr="0075127F">
        <w:t>: Crecimiento empleo registrado (+3,4% abr 2023 vs. 2022, &gt;1,18M puestos); acumulado ene-</w:t>
      </w:r>
      <w:proofErr w:type="spellStart"/>
      <w:r w:rsidRPr="0075127F">
        <w:t>may</w:t>
      </w:r>
      <w:proofErr w:type="spellEnd"/>
      <w:r w:rsidRPr="0075127F">
        <w:t xml:space="preserve"> 2023 +2,2% (máximo desde 2016). Exportaciones no tradicionales (+1,4% Q3 2023).</w:t>
      </w:r>
    </w:p>
    <w:p w14:paraId="71421641" w14:textId="77777777" w:rsidR="0075127F" w:rsidRPr="0075127F" w:rsidRDefault="0075127F" w:rsidP="001D2013">
      <w:pPr>
        <w:pStyle w:val="Prrafodelista"/>
        <w:numPr>
          <w:ilvl w:val="0"/>
          <w:numId w:val="3"/>
        </w:numPr>
        <w:spacing w:after="0"/>
        <w:jc w:val="both"/>
      </w:pPr>
      <w:r w:rsidRPr="004438CE">
        <w:rPr>
          <w:b/>
          <w:bCs/>
        </w:rPr>
        <w:t>Negativos</w:t>
      </w:r>
      <w:r w:rsidRPr="0075127F">
        <w:t>: Sequía 2023 (-27% exportaciones agro, arrastre industrial); devaluación y ajuste Milei (dic 2023-mar 2024: -89% ejecución presupuestaria industrial); apertura importadora (+12.391M USD proyectado, riesgo 430k empleos); inflación industrial ~150% anual, erosionando salarios (-23,8% poder adquisitivo). Cierres: &gt;1.500 pymes (879 manufactureras), con foco en textil y metalúrgico.</w:t>
      </w:r>
    </w:p>
    <w:p w14:paraId="0F5CB839" w14:textId="77777777" w:rsidR="0075127F" w:rsidRDefault="0075127F" w:rsidP="001D2013">
      <w:pPr>
        <w:pStyle w:val="Prrafodelista"/>
        <w:numPr>
          <w:ilvl w:val="0"/>
          <w:numId w:val="3"/>
        </w:numPr>
        <w:spacing w:after="0"/>
        <w:jc w:val="both"/>
      </w:pPr>
      <w:r w:rsidRPr="004438CE">
        <w:rPr>
          <w:b/>
          <w:bCs/>
        </w:rPr>
        <w:lastRenderedPageBreak/>
        <w:t>Empleo y Capacidad</w:t>
      </w:r>
      <w:r w:rsidRPr="0075127F">
        <w:t>: Pérdida neta -38.532 puestos (industria, nov 2023-ago 2024); desocupación +115k (Q4 2024 vs. 2023). Capacidad instalada ~62% (mar 2024), vs. 72% prepandemia. Precarización: +300k cuentas propias.</w:t>
      </w:r>
    </w:p>
    <w:p w14:paraId="65B6FF32" w14:textId="77777777" w:rsidR="001D2013" w:rsidRPr="0075127F" w:rsidRDefault="001D2013" w:rsidP="001D2013">
      <w:pPr>
        <w:spacing w:after="0"/>
        <w:jc w:val="both"/>
      </w:pPr>
    </w:p>
    <w:p w14:paraId="65D8E5D8" w14:textId="77777777" w:rsidR="004438CE" w:rsidRDefault="0075127F" w:rsidP="006824C1">
      <w:pPr>
        <w:spacing w:after="0"/>
        <w:jc w:val="both"/>
      </w:pPr>
      <w:r w:rsidRPr="0075127F">
        <w:t xml:space="preserve">En resumen, la industria contribuyó -0,5 p.p. al PIB 2023 y -1,2 p.p. al EMAE H1 2024, con contracción generalizada (solo 3/16 divisiones positivas en feb 2024). </w:t>
      </w:r>
    </w:p>
    <w:p w14:paraId="28911211" w14:textId="77777777" w:rsidR="004438CE" w:rsidRDefault="004438CE" w:rsidP="006824C1">
      <w:pPr>
        <w:spacing w:after="0"/>
        <w:jc w:val="both"/>
      </w:pPr>
    </w:p>
    <w:p w14:paraId="1AC6DD75" w14:textId="77777777" w:rsidR="004438CE" w:rsidRDefault="0075127F" w:rsidP="006824C1">
      <w:pPr>
        <w:spacing w:after="0"/>
        <w:jc w:val="both"/>
      </w:pPr>
      <w:r w:rsidRPr="0075127F">
        <w:t xml:space="preserve">El ajuste Milei aceleró la recesión (-17% neto jun 2022-abr 2024), pero sectores esenciales como alimentos amortiguaron. </w:t>
      </w:r>
    </w:p>
    <w:p w14:paraId="2BC96808" w14:textId="77777777" w:rsidR="004438CE" w:rsidRDefault="004438CE" w:rsidP="006824C1">
      <w:pPr>
        <w:spacing w:after="0"/>
        <w:jc w:val="both"/>
      </w:pPr>
    </w:p>
    <w:p w14:paraId="731418E1" w14:textId="68A8B952" w:rsidR="0075127F" w:rsidRDefault="0075127F" w:rsidP="006824C1">
      <w:pPr>
        <w:spacing w:after="0"/>
        <w:jc w:val="both"/>
      </w:pPr>
      <w:r w:rsidRPr="004438CE">
        <w:rPr>
          <w:b/>
          <w:bCs/>
        </w:rPr>
        <w:t>Vulnerabilidades</w:t>
      </w:r>
      <w:r w:rsidRPr="0075127F">
        <w:t xml:space="preserve">: dependencia demanda interna y exposición importadora persisten, con recuperación incipiente </w:t>
      </w:r>
      <w:proofErr w:type="spellStart"/>
      <w:r w:rsidRPr="0075127F">
        <w:t>post-marzo</w:t>
      </w:r>
      <w:proofErr w:type="spellEnd"/>
      <w:r w:rsidRPr="0075127F">
        <w:t xml:space="preserve"> 2024.</w:t>
      </w:r>
    </w:p>
    <w:p w14:paraId="64923B05" w14:textId="77777777" w:rsidR="007D4A56" w:rsidRDefault="007D4A56" w:rsidP="006824C1">
      <w:pPr>
        <w:spacing w:after="0"/>
        <w:jc w:val="both"/>
      </w:pPr>
    </w:p>
    <w:p w14:paraId="66179C19" w14:textId="0E586A49" w:rsidR="007D4A56" w:rsidRPr="00EA25A1" w:rsidRDefault="00EA25A1" w:rsidP="006824C1">
      <w:pPr>
        <w:spacing w:after="0"/>
        <w:jc w:val="both"/>
        <w:rPr>
          <w:b/>
          <w:bCs/>
        </w:rPr>
      </w:pPr>
      <w:r w:rsidRPr="00EA25A1">
        <w:rPr>
          <w:b/>
          <w:bCs/>
        </w:rPr>
        <w:t>DETALLE DE ACTIVIDADES DEL PERIODO</w:t>
      </w:r>
    </w:p>
    <w:p w14:paraId="2E7F11D2" w14:textId="77777777" w:rsidR="00EA25A1" w:rsidRDefault="00EA25A1" w:rsidP="006824C1">
      <w:pPr>
        <w:spacing w:after="0"/>
        <w:jc w:val="both"/>
      </w:pPr>
    </w:p>
    <w:p w14:paraId="5439A1E8" w14:textId="539C92C9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Convenio </w:t>
      </w:r>
      <w:r w:rsidR="00EA25A1">
        <w:rPr>
          <w:lang w:val="es-ES"/>
        </w:rPr>
        <w:t>UIO</w:t>
      </w:r>
      <w:r w:rsidRPr="00814CA6">
        <w:rPr>
          <w:lang w:val="es-ES"/>
        </w:rPr>
        <w:t xml:space="preserve"> - </w:t>
      </w:r>
      <w:r w:rsidR="00EA25A1">
        <w:rPr>
          <w:lang w:val="es-ES"/>
        </w:rPr>
        <w:t>U</w:t>
      </w:r>
      <w:r w:rsidRPr="00814CA6">
        <w:rPr>
          <w:lang w:val="es-ES"/>
        </w:rPr>
        <w:t xml:space="preserve">niversidad de </w:t>
      </w:r>
      <w:r w:rsidR="00EA25A1">
        <w:rPr>
          <w:lang w:val="es-ES"/>
        </w:rPr>
        <w:t>M</w:t>
      </w:r>
      <w:r w:rsidRPr="00814CA6">
        <w:rPr>
          <w:lang w:val="es-ES"/>
        </w:rPr>
        <w:t>orón</w:t>
      </w:r>
      <w:r w:rsidR="00674246">
        <w:rPr>
          <w:lang w:val="es-ES"/>
        </w:rPr>
        <w:t xml:space="preserve"> - B</w:t>
      </w:r>
      <w:r w:rsidRPr="00814CA6">
        <w:rPr>
          <w:lang w:val="es-ES"/>
        </w:rPr>
        <w:t xml:space="preserve">ecas y beneficios para socios de la </w:t>
      </w:r>
      <w:r w:rsidR="00674246">
        <w:rPr>
          <w:lang w:val="es-ES"/>
        </w:rPr>
        <w:t>Unión Industrial del Oeste</w:t>
      </w:r>
    </w:p>
    <w:p w14:paraId="125E66D4" w14:textId="77777777" w:rsidR="00E24712" w:rsidRPr="00814CA6" w:rsidRDefault="00E24712" w:rsidP="00814CA6">
      <w:pPr>
        <w:spacing w:after="0"/>
        <w:jc w:val="both"/>
        <w:rPr>
          <w:lang w:val="es-ES"/>
        </w:rPr>
      </w:pPr>
    </w:p>
    <w:p w14:paraId="42051D5E" w14:textId="34BE5F61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Evento por el </w:t>
      </w:r>
      <w:r w:rsidR="00574641">
        <w:rPr>
          <w:lang w:val="es-ES"/>
        </w:rPr>
        <w:t>D</w:t>
      </w:r>
      <w:r w:rsidRPr="00814CA6">
        <w:rPr>
          <w:lang w:val="es-ES"/>
        </w:rPr>
        <w:t xml:space="preserve">ía de la </w:t>
      </w:r>
      <w:r w:rsidR="00574641">
        <w:rPr>
          <w:lang w:val="es-ES"/>
        </w:rPr>
        <w:t>M</w:t>
      </w:r>
      <w:r w:rsidRPr="00814CA6">
        <w:rPr>
          <w:lang w:val="es-ES"/>
        </w:rPr>
        <w:t xml:space="preserve">ujer: aliadas y protagonistas del desarrollo económico, social y productivo. </w:t>
      </w:r>
    </w:p>
    <w:p w14:paraId="4AD40955" w14:textId="77777777" w:rsidR="00E24712" w:rsidRPr="00814CA6" w:rsidRDefault="00E24712" w:rsidP="00814CA6">
      <w:pPr>
        <w:spacing w:after="0"/>
        <w:jc w:val="both"/>
        <w:rPr>
          <w:lang w:val="es-ES"/>
        </w:rPr>
      </w:pPr>
    </w:p>
    <w:p w14:paraId="5944820D" w14:textId="77777777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Asamblea general ordinaria</w:t>
      </w:r>
    </w:p>
    <w:p w14:paraId="44F42FB1" w14:textId="77777777" w:rsidR="00E24712" w:rsidRPr="00814CA6" w:rsidRDefault="00E24712" w:rsidP="00814CA6">
      <w:pPr>
        <w:spacing w:after="0"/>
        <w:jc w:val="both"/>
        <w:rPr>
          <w:lang w:val="es-ES"/>
        </w:rPr>
      </w:pPr>
    </w:p>
    <w:p w14:paraId="6F82032A" w14:textId="73B228D4" w:rsidR="0063496F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Visitas guiadas en el </w:t>
      </w:r>
      <w:r w:rsidR="0063496F">
        <w:rPr>
          <w:lang w:val="es-ES"/>
        </w:rPr>
        <w:t>Parque Industrial La Cantábrica</w:t>
      </w:r>
      <w:r w:rsidR="00132223">
        <w:rPr>
          <w:lang w:val="es-ES"/>
        </w:rPr>
        <w:t xml:space="preserve"> </w:t>
      </w:r>
      <w:r w:rsidRPr="00814CA6">
        <w:rPr>
          <w:lang w:val="es-ES"/>
        </w:rPr>
        <w:t xml:space="preserve">Se realizaron 15 visitas guiadas a diferentes empresas del </w:t>
      </w:r>
      <w:r w:rsidR="0063496F" w:rsidRPr="0063496F">
        <w:rPr>
          <w:lang w:val="es-ES"/>
        </w:rPr>
        <w:t xml:space="preserve">Parque Industrial La Cantábrica </w:t>
      </w:r>
    </w:p>
    <w:p w14:paraId="528DB6B8" w14:textId="77777777" w:rsidR="00132223" w:rsidRDefault="00132223" w:rsidP="00814CA6">
      <w:pPr>
        <w:spacing w:after="0"/>
        <w:jc w:val="both"/>
        <w:rPr>
          <w:lang w:val="es-ES"/>
        </w:rPr>
      </w:pPr>
    </w:p>
    <w:p w14:paraId="36A22914" w14:textId="14D53638" w:rsidR="00814CA6" w:rsidRP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Charla de prevención cáncer </w:t>
      </w:r>
      <w:proofErr w:type="spellStart"/>
      <w:r w:rsidRPr="00814CA6">
        <w:rPr>
          <w:lang w:val="es-ES"/>
        </w:rPr>
        <w:t>cervico</w:t>
      </w:r>
      <w:proofErr w:type="spellEnd"/>
      <w:r w:rsidRPr="00814CA6">
        <w:rPr>
          <w:lang w:val="es-ES"/>
        </w:rPr>
        <w:t>-uterino y mamario </w:t>
      </w:r>
      <w:r w:rsidR="0063496F">
        <w:rPr>
          <w:lang w:val="es-ES"/>
        </w:rPr>
        <w:t>a cargo de LALCEC</w:t>
      </w:r>
    </w:p>
    <w:p w14:paraId="334F4F72" w14:textId="77777777" w:rsidR="00132223" w:rsidRDefault="00132223" w:rsidP="00814CA6">
      <w:pPr>
        <w:spacing w:after="0"/>
        <w:jc w:val="both"/>
        <w:rPr>
          <w:lang w:val="es-ES"/>
        </w:rPr>
      </w:pPr>
    </w:p>
    <w:p w14:paraId="060EABE7" w14:textId="21A78969" w:rsidR="00814CA6" w:rsidRP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Desayuno de trabajo “la nueva era del potencial humano”. Manpower</w:t>
      </w:r>
      <w:r w:rsidR="0063496F">
        <w:rPr>
          <w:lang w:val="es-ES"/>
        </w:rPr>
        <w:t xml:space="preserve"> </w:t>
      </w:r>
      <w:proofErr w:type="spellStart"/>
      <w:r w:rsidR="0063496F">
        <w:rPr>
          <w:lang w:val="es-ES"/>
        </w:rPr>
        <w:t>G</w:t>
      </w:r>
      <w:r w:rsidRPr="00814CA6">
        <w:rPr>
          <w:lang w:val="es-ES"/>
        </w:rPr>
        <w:t>oup</w:t>
      </w:r>
      <w:proofErr w:type="spellEnd"/>
      <w:r w:rsidRPr="00814CA6">
        <w:rPr>
          <w:lang w:val="es-ES"/>
        </w:rPr>
        <w:t xml:space="preserve"> </w:t>
      </w:r>
    </w:p>
    <w:p w14:paraId="2CF75593" w14:textId="77777777" w:rsidR="00132223" w:rsidRDefault="00132223" w:rsidP="00814CA6">
      <w:pPr>
        <w:spacing w:after="0"/>
        <w:jc w:val="both"/>
        <w:rPr>
          <w:lang w:val="es-ES"/>
        </w:rPr>
      </w:pPr>
    </w:p>
    <w:p w14:paraId="7BE562E7" w14:textId="2571600C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Las autoridades de la </w:t>
      </w:r>
      <w:r w:rsidR="00674246">
        <w:rPr>
          <w:lang w:val="es-ES"/>
        </w:rPr>
        <w:t>Unión Industrial del Oeste</w:t>
      </w:r>
      <w:r w:rsidRPr="00814CA6">
        <w:rPr>
          <w:lang w:val="es-ES"/>
        </w:rPr>
        <w:t xml:space="preserve"> pertenecientes al </w:t>
      </w:r>
      <w:r w:rsidR="00944D71">
        <w:rPr>
          <w:lang w:val="es-ES"/>
        </w:rPr>
        <w:t>EPIBAM</w:t>
      </w:r>
      <w:r w:rsidRPr="00814CA6">
        <w:rPr>
          <w:lang w:val="es-ES"/>
        </w:rPr>
        <w:t xml:space="preserve"> realizaron junto con el </w:t>
      </w:r>
      <w:r w:rsidR="00944D71">
        <w:rPr>
          <w:lang w:val="es-ES"/>
        </w:rPr>
        <w:t>C</w:t>
      </w:r>
      <w:r w:rsidRPr="00814CA6">
        <w:rPr>
          <w:lang w:val="es-ES"/>
        </w:rPr>
        <w:t xml:space="preserve">olegio de </w:t>
      </w:r>
      <w:r w:rsidR="00944D71">
        <w:rPr>
          <w:lang w:val="es-ES"/>
        </w:rPr>
        <w:t>I</w:t>
      </w:r>
      <w:r w:rsidRPr="00814CA6">
        <w:rPr>
          <w:lang w:val="es-ES"/>
        </w:rPr>
        <w:t xml:space="preserve">ngenieros de la </w:t>
      </w:r>
      <w:r w:rsidR="00944D71">
        <w:rPr>
          <w:lang w:val="es-ES"/>
        </w:rPr>
        <w:t>PBA</w:t>
      </w:r>
      <w:r w:rsidRPr="00814CA6">
        <w:rPr>
          <w:lang w:val="es-ES"/>
        </w:rPr>
        <w:t xml:space="preserve"> </w:t>
      </w:r>
      <w:r w:rsidR="00944D71">
        <w:rPr>
          <w:lang w:val="es-ES"/>
        </w:rPr>
        <w:t>D</w:t>
      </w:r>
      <w:r w:rsidRPr="00814CA6">
        <w:rPr>
          <w:lang w:val="es-ES"/>
        </w:rPr>
        <w:t xml:space="preserve">istrito </w:t>
      </w:r>
      <w:r w:rsidR="00944D71">
        <w:rPr>
          <w:lang w:val="es-ES"/>
        </w:rPr>
        <w:t>VII</w:t>
      </w:r>
      <w:r w:rsidRPr="00814CA6">
        <w:rPr>
          <w:lang w:val="es-ES"/>
        </w:rPr>
        <w:t xml:space="preserve">, una reunión con las empresas adjudicadas para instalarse en la ampliación del </w:t>
      </w:r>
      <w:r w:rsidR="0063496F">
        <w:rPr>
          <w:lang w:val="es-ES"/>
        </w:rPr>
        <w:t xml:space="preserve">Parque Industrial La </w:t>
      </w:r>
      <w:r w:rsidR="00944D71">
        <w:rPr>
          <w:lang w:val="es-ES"/>
        </w:rPr>
        <w:t>Cantábrica</w:t>
      </w:r>
      <w:r w:rsidRPr="00814CA6">
        <w:rPr>
          <w:lang w:val="es-ES"/>
        </w:rPr>
        <w:t>. En dicho encuentro se evacuaron consultas respectó al avance de obras generales del predio y de cuestiones que fueron surgiendo a las empresas sobre su unidad productiva.</w:t>
      </w:r>
    </w:p>
    <w:p w14:paraId="57618BD8" w14:textId="77777777" w:rsidR="00944D71" w:rsidRPr="00814CA6" w:rsidRDefault="00944D71" w:rsidP="00814CA6">
      <w:pPr>
        <w:spacing w:after="0"/>
        <w:jc w:val="both"/>
        <w:rPr>
          <w:lang w:val="es-ES"/>
        </w:rPr>
      </w:pPr>
    </w:p>
    <w:p w14:paraId="2A103BA5" w14:textId="2E4FF945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Desayuno de trabajo sobre innovación y de cómo la tecnología puede ayudar a mejorar la productividad de tu empresa, disminuyendo costos operativos y paradas no programadas a cargo de la empresa</w:t>
      </w:r>
      <w:r w:rsidR="00E24712">
        <w:rPr>
          <w:lang w:val="es-ES"/>
        </w:rPr>
        <w:t xml:space="preserve"> </w:t>
      </w:r>
      <w:r w:rsidR="00944D71">
        <w:rPr>
          <w:lang w:val="es-ES"/>
        </w:rPr>
        <w:t xml:space="preserve">LEVEX </w:t>
      </w:r>
    </w:p>
    <w:p w14:paraId="50494540" w14:textId="77777777" w:rsidR="00132223" w:rsidRPr="00814CA6" w:rsidRDefault="00132223" w:rsidP="00814CA6">
      <w:pPr>
        <w:spacing w:after="0"/>
        <w:jc w:val="both"/>
        <w:rPr>
          <w:lang w:val="es-ES"/>
        </w:rPr>
      </w:pPr>
    </w:p>
    <w:p w14:paraId="4BCCE901" w14:textId="26277909" w:rsidR="00814CA6" w:rsidRP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Recibimos la visita del </w:t>
      </w:r>
      <w:r w:rsidR="008A5BCD">
        <w:rPr>
          <w:lang w:val="es-ES"/>
        </w:rPr>
        <w:t>G</w:t>
      </w:r>
      <w:r w:rsidRPr="00814CA6">
        <w:rPr>
          <w:lang w:val="es-ES"/>
        </w:rPr>
        <w:t xml:space="preserve">obernador de la </w:t>
      </w:r>
      <w:r w:rsidR="008A5BCD">
        <w:rPr>
          <w:lang w:val="es-ES"/>
        </w:rPr>
        <w:t>P</w:t>
      </w:r>
      <w:r w:rsidRPr="00814CA6">
        <w:rPr>
          <w:lang w:val="es-ES"/>
        </w:rPr>
        <w:t xml:space="preserve">rovincia de </w:t>
      </w:r>
      <w:r w:rsidR="008A5BCD">
        <w:rPr>
          <w:lang w:val="es-ES"/>
        </w:rPr>
        <w:t>B</w:t>
      </w:r>
      <w:r w:rsidRPr="00814CA6">
        <w:rPr>
          <w:lang w:val="es-ES"/>
        </w:rPr>
        <w:t xml:space="preserve">uenos </w:t>
      </w:r>
      <w:r w:rsidR="008A5BCD">
        <w:rPr>
          <w:lang w:val="es-ES"/>
        </w:rPr>
        <w:t>A</w:t>
      </w:r>
      <w:r w:rsidRPr="00814CA6">
        <w:rPr>
          <w:lang w:val="es-ES"/>
        </w:rPr>
        <w:t xml:space="preserve">ires </w:t>
      </w:r>
      <w:r w:rsidR="008A5BCD">
        <w:rPr>
          <w:lang w:val="es-ES"/>
        </w:rPr>
        <w:t>A</w:t>
      </w:r>
      <w:r w:rsidRPr="00814CA6">
        <w:rPr>
          <w:lang w:val="es-ES"/>
        </w:rPr>
        <w:t xml:space="preserve">xel </w:t>
      </w:r>
      <w:r w:rsidR="008A5BCD">
        <w:rPr>
          <w:lang w:val="es-ES"/>
        </w:rPr>
        <w:t>K</w:t>
      </w:r>
      <w:r w:rsidRPr="00814CA6">
        <w:rPr>
          <w:lang w:val="es-ES"/>
        </w:rPr>
        <w:t xml:space="preserve">icillof para ver los avances de obras de la ampliación del </w:t>
      </w:r>
      <w:r w:rsidR="006060AD">
        <w:rPr>
          <w:lang w:val="es-ES"/>
        </w:rPr>
        <w:t>Parque Industrial La Cantabrica</w:t>
      </w:r>
    </w:p>
    <w:p w14:paraId="66BD7E47" w14:textId="77777777" w:rsidR="006060AD" w:rsidRDefault="006060AD" w:rsidP="00814CA6">
      <w:pPr>
        <w:spacing w:after="0"/>
        <w:jc w:val="both"/>
        <w:rPr>
          <w:lang w:val="es-ES"/>
        </w:rPr>
      </w:pPr>
    </w:p>
    <w:p w14:paraId="0F13B0D2" w14:textId="339F483B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Nos sumamos a la </w:t>
      </w:r>
      <w:r w:rsidR="006060AD">
        <w:rPr>
          <w:lang w:val="es-ES"/>
        </w:rPr>
        <w:t>F</w:t>
      </w:r>
      <w:r w:rsidRPr="00814CA6">
        <w:rPr>
          <w:lang w:val="es-ES"/>
        </w:rPr>
        <w:t xml:space="preserve">undación </w:t>
      </w:r>
      <w:r w:rsidR="001C23B0">
        <w:rPr>
          <w:lang w:val="es-ES"/>
        </w:rPr>
        <w:t>J</w:t>
      </w:r>
      <w:r w:rsidRPr="00814CA6">
        <w:rPr>
          <w:lang w:val="es-ES"/>
        </w:rPr>
        <w:t xml:space="preserve">untos </w:t>
      </w:r>
      <w:r w:rsidR="001C23B0">
        <w:rPr>
          <w:lang w:val="es-ES"/>
        </w:rPr>
        <w:t>V</w:t>
      </w:r>
      <w:r w:rsidRPr="00814CA6">
        <w:rPr>
          <w:lang w:val="es-ES"/>
        </w:rPr>
        <w:t xml:space="preserve">amos por </w:t>
      </w:r>
      <w:r w:rsidR="001C23B0">
        <w:rPr>
          <w:lang w:val="es-ES"/>
        </w:rPr>
        <w:t>M</w:t>
      </w:r>
      <w:r w:rsidRPr="00814CA6">
        <w:rPr>
          <w:lang w:val="es-ES"/>
        </w:rPr>
        <w:t xml:space="preserve">as, a la campaña del mes de la niñez </w:t>
      </w:r>
      <w:r w:rsidR="009B7A9F">
        <w:rPr>
          <w:lang w:val="es-ES"/>
        </w:rPr>
        <w:t>J</w:t>
      </w:r>
      <w:r w:rsidRPr="00814CA6">
        <w:rPr>
          <w:lang w:val="es-ES"/>
        </w:rPr>
        <w:t xml:space="preserve">untos </w:t>
      </w:r>
      <w:r w:rsidR="009B7A9F">
        <w:rPr>
          <w:lang w:val="es-ES"/>
        </w:rPr>
        <w:t>M</w:t>
      </w:r>
      <w:r w:rsidRPr="00814CA6">
        <w:rPr>
          <w:lang w:val="es-ES"/>
        </w:rPr>
        <w:t xml:space="preserve">ultiplicamos </w:t>
      </w:r>
      <w:r w:rsidR="009B7A9F">
        <w:rPr>
          <w:lang w:val="es-ES"/>
        </w:rPr>
        <w:t>S</w:t>
      </w:r>
      <w:r w:rsidRPr="00814CA6">
        <w:rPr>
          <w:lang w:val="es-ES"/>
        </w:rPr>
        <w:t>onrisas.</w:t>
      </w:r>
    </w:p>
    <w:p w14:paraId="010354CA" w14:textId="77777777" w:rsidR="009B7A9F" w:rsidRPr="00814CA6" w:rsidRDefault="009B7A9F" w:rsidP="00814CA6">
      <w:pPr>
        <w:spacing w:after="0"/>
        <w:jc w:val="both"/>
        <w:rPr>
          <w:lang w:val="es-ES"/>
        </w:rPr>
      </w:pPr>
    </w:p>
    <w:p w14:paraId="01731985" w14:textId="5AC4C2F0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Curso de “</w:t>
      </w:r>
      <w:r w:rsidR="009B7A9F">
        <w:rPr>
          <w:lang w:val="es-ES"/>
        </w:rPr>
        <w:t>B</w:t>
      </w:r>
      <w:r w:rsidRPr="00814CA6">
        <w:rPr>
          <w:lang w:val="es-ES"/>
        </w:rPr>
        <w:t xml:space="preserve">uenas </w:t>
      </w:r>
      <w:r w:rsidR="009B7A9F">
        <w:rPr>
          <w:lang w:val="es-ES"/>
        </w:rPr>
        <w:t>P</w:t>
      </w:r>
      <w:r w:rsidRPr="00814CA6">
        <w:rPr>
          <w:lang w:val="es-ES"/>
        </w:rPr>
        <w:t xml:space="preserve">rácticas de </w:t>
      </w:r>
      <w:r w:rsidR="009B7A9F">
        <w:rPr>
          <w:lang w:val="es-ES"/>
        </w:rPr>
        <w:t>M</w:t>
      </w:r>
      <w:r w:rsidRPr="00814CA6">
        <w:rPr>
          <w:lang w:val="es-ES"/>
        </w:rPr>
        <w:t xml:space="preserve">anufactura dictado por la </w:t>
      </w:r>
      <w:r w:rsidR="00F1386F">
        <w:rPr>
          <w:lang w:val="es-ES"/>
        </w:rPr>
        <w:t>Universidad Nacional de Hurlingham</w:t>
      </w:r>
    </w:p>
    <w:p w14:paraId="00D3B9BA" w14:textId="77777777" w:rsidR="00F1386F" w:rsidRPr="00814CA6" w:rsidRDefault="00F1386F" w:rsidP="00814CA6">
      <w:pPr>
        <w:spacing w:after="0"/>
        <w:jc w:val="both"/>
        <w:rPr>
          <w:lang w:val="es-ES"/>
        </w:rPr>
      </w:pPr>
    </w:p>
    <w:p w14:paraId="593F22D7" w14:textId="77777777" w:rsidR="00F1386F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Curso los fundamentos del </w:t>
      </w:r>
      <w:proofErr w:type="spellStart"/>
      <w:r w:rsidRPr="00814CA6">
        <w:rPr>
          <w:lang w:val="es-ES"/>
        </w:rPr>
        <w:t>kaizen</w:t>
      </w:r>
      <w:proofErr w:type="spellEnd"/>
      <w:r w:rsidRPr="00814CA6">
        <w:rPr>
          <w:lang w:val="es-ES"/>
        </w:rPr>
        <w:t xml:space="preserve"> como modelo de gestión que guía hacia una mejora del resultado de la organización dictado por la </w:t>
      </w:r>
      <w:r w:rsidR="00F1386F">
        <w:rPr>
          <w:lang w:val="es-ES"/>
        </w:rPr>
        <w:t>Universidad Nacional de Hurlingham</w:t>
      </w:r>
    </w:p>
    <w:p w14:paraId="37A6C3C1" w14:textId="11B57128" w:rsidR="00814CA6" w:rsidRPr="00814CA6" w:rsidRDefault="00814CA6" w:rsidP="00410D1C">
      <w:pPr>
        <w:spacing w:after="0"/>
        <w:ind w:left="-360" w:firstLine="72"/>
        <w:jc w:val="both"/>
        <w:rPr>
          <w:lang w:val="es-ES"/>
        </w:rPr>
      </w:pPr>
    </w:p>
    <w:p w14:paraId="13B0A50C" w14:textId="591458DF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En conjunto con el </w:t>
      </w:r>
      <w:r w:rsidR="004D6C08">
        <w:rPr>
          <w:lang w:val="es-ES"/>
        </w:rPr>
        <w:t>C</w:t>
      </w:r>
      <w:r w:rsidRPr="00814CA6">
        <w:rPr>
          <w:lang w:val="es-ES"/>
        </w:rPr>
        <w:t xml:space="preserve">onsorcio del </w:t>
      </w:r>
      <w:r w:rsidR="004D6C08">
        <w:rPr>
          <w:lang w:val="es-ES"/>
        </w:rPr>
        <w:t>PILC</w:t>
      </w:r>
      <w:r w:rsidRPr="00814CA6">
        <w:rPr>
          <w:lang w:val="es-ES"/>
        </w:rPr>
        <w:t xml:space="preserve">; nos sumamos a la </w:t>
      </w:r>
      <w:r w:rsidR="004D6C08" w:rsidRPr="00814CA6">
        <w:rPr>
          <w:lang w:val="es-ES"/>
        </w:rPr>
        <w:t>recolección</w:t>
      </w:r>
      <w:r w:rsidRPr="00814CA6">
        <w:rPr>
          <w:lang w:val="es-ES"/>
        </w:rPr>
        <w:t xml:space="preserve"> d</w:t>
      </w:r>
      <w:r w:rsidR="004D6C08">
        <w:rPr>
          <w:lang w:val="es-ES"/>
        </w:rPr>
        <w:t>e</w:t>
      </w:r>
      <w:r w:rsidRPr="00814CA6">
        <w:rPr>
          <w:lang w:val="es-ES"/>
        </w:rPr>
        <w:t xml:space="preserve"> </w:t>
      </w:r>
      <w:r w:rsidR="004D6C08" w:rsidRPr="00814CA6">
        <w:rPr>
          <w:lang w:val="es-ES"/>
        </w:rPr>
        <w:t>botellas</w:t>
      </w:r>
      <w:r w:rsidRPr="00814CA6">
        <w:rPr>
          <w:lang w:val="es-ES"/>
        </w:rPr>
        <w:t xml:space="preserve"> vacías, limpias y con tapa, para donarlas al </w:t>
      </w:r>
      <w:r w:rsidR="004D6C08">
        <w:rPr>
          <w:lang w:val="es-ES"/>
        </w:rPr>
        <w:t>J</w:t>
      </w:r>
      <w:r w:rsidRPr="00814CA6">
        <w:rPr>
          <w:lang w:val="es-ES"/>
        </w:rPr>
        <w:t xml:space="preserve">ardín </w:t>
      </w:r>
      <w:r w:rsidR="004D6C08">
        <w:rPr>
          <w:lang w:val="es-ES"/>
        </w:rPr>
        <w:t>P</w:t>
      </w:r>
      <w:r w:rsidRPr="00814CA6">
        <w:rPr>
          <w:lang w:val="es-ES"/>
        </w:rPr>
        <w:t xml:space="preserve">laza </w:t>
      </w:r>
      <w:r w:rsidR="00502445">
        <w:rPr>
          <w:lang w:val="es-ES"/>
        </w:rPr>
        <w:t>B</w:t>
      </w:r>
      <w:r w:rsidRPr="00814CA6">
        <w:rPr>
          <w:lang w:val="es-ES"/>
        </w:rPr>
        <w:t xml:space="preserve">ebe para ser reutilizadas en la construcción de su escuela primaria sustentable </w:t>
      </w:r>
      <w:proofErr w:type="gramStart"/>
      <w:r w:rsidRPr="00814CA6">
        <w:rPr>
          <w:lang w:val="es-ES"/>
        </w:rPr>
        <w:t>“ </w:t>
      </w:r>
      <w:r w:rsidRPr="00502445">
        <w:rPr>
          <w:lang w:val="es-ES"/>
        </w:rPr>
        <w:t>COPLAS</w:t>
      </w:r>
      <w:proofErr w:type="gramEnd"/>
      <w:r w:rsidRPr="00502445">
        <w:rPr>
          <w:lang w:val="es-ES"/>
        </w:rPr>
        <w:t xml:space="preserve"> </w:t>
      </w:r>
      <w:proofErr w:type="gramStart"/>
      <w:r w:rsidRPr="00502445">
        <w:rPr>
          <w:lang w:val="es-ES"/>
        </w:rPr>
        <w:t>ESCUELA</w:t>
      </w:r>
      <w:r w:rsidRPr="00814CA6">
        <w:rPr>
          <w:lang w:val="es-ES"/>
        </w:rPr>
        <w:t> ”</w:t>
      </w:r>
      <w:proofErr w:type="gramEnd"/>
    </w:p>
    <w:p w14:paraId="76CBCB73" w14:textId="77777777" w:rsidR="00502445" w:rsidRPr="00814CA6" w:rsidRDefault="00502445" w:rsidP="00814CA6">
      <w:pPr>
        <w:spacing w:after="0"/>
        <w:jc w:val="both"/>
        <w:rPr>
          <w:lang w:val="es-ES"/>
        </w:rPr>
      </w:pPr>
    </w:p>
    <w:p w14:paraId="7AB88BCE" w14:textId="0D06F730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Realizamos 4 jornadas de </w:t>
      </w:r>
      <w:r w:rsidR="00502445">
        <w:rPr>
          <w:lang w:val="es-ES"/>
        </w:rPr>
        <w:t>Do</w:t>
      </w:r>
      <w:r w:rsidRPr="00814CA6">
        <w:rPr>
          <w:lang w:val="es-ES"/>
        </w:rPr>
        <w:t xml:space="preserve">nación de sangre junto con el </w:t>
      </w:r>
      <w:r w:rsidR="00502445">
        <w:rPr>
          <w:lang w:val="es-ES"/>
        </w:rPr>
        <w:t>H</w:t>
      </w:r>
      <w:r w:rsidRPr="00814CA6">
        <w:rPr>
          <w:lang w:val="es-ES"/>
        </w:rPr>
        <w:t xml:space="preserve">ospital </w:t>
      </w:r>
      <w:r w:rsidR="00502445">
        <w:rPr>
          <w:lang w:val="es-ES"/>
        </w:rPr>
        <w:t>P</w:t>
      </w:r>
      <w:r w:rsidRPr="00814CA6">
        <w:rPr>
          <w:lang w:val="es-ES"/>
        </w:rPr>
        <w:t>osadas</w:t>
      </w:r>
    </w:p>
    <w:p w14:paraId="0D59A294" w14:textId="77777777" w:rsidR="00502445" w:rsidRPr="00814CA6" w:rsidRDefault="00502445" w:rsidP="00814CA6">
      <w:pPr>
        <w:spacing w:after="0"/>
        <w:jc w:val="both"/>
        <w:rPr>
          <w:lang w:val="es-ES"/>
        </w:rPr>
      </w:pPr>
    </w:p>
    <w:p w14:paraId="14D864DC" w14:textId="347764D2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Visita del </w:t>
      </w:r>
      <w:r w:rsidR="00343DA1">
        <w:rPr>
          <w:lang w:val="es-ES"/>
        </w:rPr>
        <w:t>I</w:t>
      </w:r>
      <w:r w:rsidRPr="00814CA6">
        <w:rPr>
          <w:lang w:val="es-ES"/>
        </w:rPr>
        <w:t>n</w:t>
      </w:r>
      <w:r w:rsidR="00343DA1">
        <w:rPr>
          <w:lang w:val="es-ES"/>
        </w:rPr>
        <w:t>tendente</w:t>
      </w:r>
      <w:r w:rsidRPr="00814CA6">
        <w:rPr>
          <w:lang w:val="es-ES"/>
        </w:rPr>
        <w:t xml:space="preserve"> de </w:t>
      </w:r>
      <w:r w:rsidR="00A869DB">
        <w:rPr>
          <w:lang w:val="es-ES"/>
        </w:rPr>
        <w:t>3</w:t>
      </w:r>
      <w:r w:rsidRPr="00814CA6">
        <w:rPr>
          <w:lang w:val="es-ES"/>
        </w:rPr>
        <w:t xml:space="preserve"> de </w:t>
      </w:r>
      <w:proofErr w:type="gramStart"/>
      <w:r w:rsidR="00A869DB">
        <w:rPr>
          <w:lang w:val="es-ES"/>
        </w:rPr>
        <w:t>F</w:t>
      </w:r>
      <w:r w:rsidRPr="00814CA6">
        <w:rPr>
          <w:lang w:val="es-ES"/>
        </w:rPr>
        <w:t>ebrero</w:t>
      </w:r>
      <w:proofErr w:type="gramEnd"/>
      <w:r w:rsidRPr="00814CA6">
        <w:rPr>
          <w:lang w:val="es-ES"/>
        </w:rPr>
        <w:t xml:space="preserve">. Diego </w:t>
      </w:r>
      <w:r w:rsidR="00A869DB" w:rsidRPr="00814CA6">
        <w:rPr>
          <w:lang w:val="es-ES"/>
        </w:rPr>
        <w:t>Valenzuela</w:t>
      </w:r>
      <w:r w:rsidRPr="00814CA6">
        <w:rPr>
          <w:lang w:val="es-ES"/>
        </w:rPr>
        <w:t xml:space="preserve"> y su equipo de </w:t>
      </w:r>
      <w:proofErr w:type="spellStart"/>
      <w:r w:rsidRPr="00814CA6">
        <w:rPr>
          <w:lang w:val="es-ES"/>
        </w:rPr>
        <w:t>producion</w:t>
      </w:r>
      <w:proofErr w:type="spellEnd"/>
      <w:r w:rsidRPr="00814CA6">
        <w:rPr>
          <w:lang w:val="es-ES"/>
        </w:rPr>
        <w:t xml:space="preserve"> </w:t>
      </w:r>
    </w:p>
    <w:p w14:paraId="002B5A33" w14:textId="77777777" w:rsidR="00A869DB" w:rsidRPr="00814CA6" w:rsidRDefault="00A869DB" w:rsidP="00814CA6">
      <w:pPr>
        <w:spacing w:after="0"/>
        <w:jc w:val="both"/>
        <w:rPr>
          <w:lang w:val="es-ES"/>
        </w:rPr>
      </w:pPr>
    </w:p>
    <w:p w14:paraId="7FA72883" w14:textId="5FEF981D" w:rsidR="00814CA6" w:rsidRPr="00814CA6" w:rsidRDefault="00A869DB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>
        <w:rPr>
          <w:lang w:val="es-ES"/>
        </w:rPr>
        <w:t>Durante el período</w:t>
      </w:r>
      <w:r w:rsidR="00A6435B">
        <w:rPr>
          <w:lang w:val="es-ES"/>
        </w:rPr>
        <w:t>, enviamos la a</w:t>
      </w:r>
      <w:r w:rsidR="00814CA6" w:rsidRPr="00814CA6">
        <w:rPr>
          <w:lang w:val="es-ES"/>
        </w:rPr>
        <w:t>ctualización diaria de novedades normativas</w:t>
      </w:r>
      <w:r w:rsidR="001A2210" w:rsidRPr="001A2210">
        <w:rPr>
          <w:lang w:val="es-ES"/>
        </w:rPr>
        <w:t xml:space="preserve">. </w:t>
      </w:r>
      <w:r w:rsidR="00814CA6" w:rsidRPr="00814CA6">
        <w:rPr>
          <w:lang w:val="es-ES"/>
        </w:rPr>
        <w:t>Informes económicos desarrollados en las reuniones de comisión directiva</w:t>
      </w:r>
    </w:p>
    <w:p w14:paraId="4ACA3807" w14:textId="77777777" w:rsidR="00814CA6" w:rsidRPr="00814CA6" w:rsidRDefault="00814CA6" w:rsidP="00814CA6">
      <w:pPr>
        <w:spacing w:after="0"/>
        <w:jc w:val="both"/>
        <w:rPr>
          <w:lang w:val="es-ES"/>
        </w:rPr>
      </w:pPr>
    </w:p>
    <w:p w14:paraId="4AD449EC" w14:textId="77777777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Asesoramiento a asociados en diversos temas de comercio exterior y regulaciones estatales. Gestión de autorizaciones de importaciones (</w:t>
      </w:r>
      <w:proofErr w:type="spellStart"/>
      <w:r w:rsidRPr="00814CA6">
        <w:rPr>
          <w:lang w:val="es-ES"/>
        </w:rPr>
        <w:t>simi</w:t>
      </w:r>
      <w:proofErr w:type="spellEnd"/>
      <w:r w:rsidRPr="00814CA6">
        <w:rPr>
          <w:lang w:val="es-ES"/>
        </w:rPr>
        <w:t>, sira). Normativa bancaria</w:t>
      </w:r>
    </w:p>
    <w:p w14:paraId="142422F0" w14:textId="77777777" w:rsidR="00E63594" w:rsidRPr="00814CA6" w:rsidRDefault="00E63594" w:rsidP="00814CA6">
      <w:pPr>
        <w:spacing w:after="0"/>
        <w:jc w:val="both"/>
        <w:rPr>
          <w:lang w:val="es-ES"/>
        </w:rPr>
      </w:pPr>
    </w:p>
    <w:p w14:paraId="4D24B35B" w14:textId="2AB23777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sz w:val="28"/>
          <w:szCs w:val="28"/>
          <w:lang w:val="es-ES"/>
        </w:rPr>
      </w:pPr>
      <w:r w:rsidRPr="00814CA6">
        <w:rPr>
          <w:lang w:val="es-ES"/>
        </w:rPr>
        <w:t xml:space="preserve">Asesoramiento legal: </w:t>
      </w:r>
      <w:r w:rsidR="00E63594" w:rsidRPr="00E63594">
        <w:rPr>
          <w:sz w:val="28"/>
          <w:szCs w:val="28"/>
          <w:lang w:val="es-ES"/>
        </w:rPr>
        <w:t xml:space="preserve">nuestros asesores legales recibieron personalmente consultas de nuestros asociados en la sede de la </w:t>
      </w:r>
      <w:r w:rsidR="00E63594">
        <w:rPr>
          <w:sz w:val="28"/>
          <w:szCs w:val="28"/>
          <w:lang w:val="es-ES"/>
        </w:rPr>
        <w:t>UIO</w:t>
      </w:r>
    </w:p>
    <w:p w14:paraId="242A6C8D" w14:textId="77777777" w:rsidR="00E63594" w:rsidRPr="00E63594" w:rsidRDefault="00E63594" w:rsidP="00814CA6">
      <w:pPr>
        <w:spacing w:after="0"/>
        <w:jc w:val="both"/>
        <w:rPr>
          <w:sz w:val="28"/>
          <w:szCs w:val="28"/>
          <w:lang w:val="es-ES"/>
        </w:rPr>
      </w:pPr>
    </w:p>
    <w:p w14:paraId="140194FC" w14:textId="3CA92C50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Asesoramiento contable e impositivo </w:t>
      </w:r>
      <w:r w:rsidR="00E63594" w:rsidRPr="00814CA6">
        <w:rPr>
          <w:lang w:val="es-ES"/>
        </w:rPr>
        <w:t>permanente</w:t>
      </w:r>
      <w:r w:rsidRPr="00814CA6">
        <w:rPr>
          <w:lang w:val="es-ES"/>
        </w:rPr>
        <w:t xml:space="preserve"> </w:t>
      </w:r>
    </w:p>
    <w:p w14:paraId="7D097C6E" w14:textId="77777777" w:rsidR="00E63594" w:rsidRPr="00814CA6" w:rsidRDefault="00E63594" w:rsidP="00814CA6">
      <w:pPr>
        <w:spacing w:after="0"/>
        <w:jc w:val="both"/>
        <w:rPr>
          <w:lang w:val="es-ES"/>
        </w:rPr>
      </w:pPr>
    </w:p>
    <w:p w14:paraId="1BBD42BE" w14:textId="31A7833A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Brindamos herramientas y acompañamiento para facilitar todo tipo de </w:t>
      </w:r>
      <w:proofErr w:type="spellStart"/>
      <w:r w:rsidR="00E63594" w:rsidRPr="00814CA6">
        <w:rPr>
          <w:lang w:val="es-ES"/>
        </w:rPr>
        <w:t>tramites</w:t>
      </w:r>
      <w:proofErr w:type="spellEnd"/>
      <w:r w:rsidRPr="00814CA6">
        <w:rPr>
          <w:lang w:val="es-ES"/>
        </w:rPr>
        <w:t xml:space="preserve"> </w:t>
      </w:r>
      <w:r w:rsidR="00E63594">
        <w:rPr>
          <w:lang w:val="es-ES"/>
        </w:rPr>
        <w:t>M</w:t>
      </w:r>
      <w:r w:rsidRPr="00814CA6">
        <w:rPr>
          <w:lang w:val="es-ES"/>
        </w:rPr>
        <w:t xml:space="preserve">unicipales. Provinciales y </w:t>
      </w:r>
      <w:r w:rsidR="00E63594">
        <w:rPr>
          <w:lang w:val="es-ES"/>
        </w:rPr>
        <w:t>N</w:t>
      </w:r>
      <w:r w:rsidR="00E63594" w:rsidRPr="00814CA6">
        <w:rPr>
          <w:lang w:val="es-ES"/>
        </w:rPr>
        <w:t>acionales</w:t>
      </w:r>
      <w:r w:rsidRPr="00814CA6">
        <w:rPr>
          <w:lang w:val="es-ES"/>
        </w:rPr>
        <w:t xml:space="preserve"> </w:t>
      </w:r>
    </w:p>
    <w:p w14:paraId="08FB21FC" w14:textId="77777777" w:rsidR="00E63594" w:rsidRPr="00814CA6" w:rsidRDefault="00E63594" w:rsidP="00814CA6">
      <w:pPr>
        <w:spacing w:after="0"/>
        <w:jc w:val="both"/>
        <w:rPr>
          <w:lang w:val="es-ES"/>
        </w:rPr>
      </w:pPr>
    </w:p>
    <w:p w14:paraId="57C9ED52" w14:textId="01013D37" w:rsid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Colaboramos con la </w:t>
      </w:r>
      <w:r w:rsidR="0001659F">
        <w:rPr>
          <w:lang w:val="es-ES"/>
        </w:rPr>
        <w:t>F</w:t>
      </w:r>
      <w:r w:rsidRPr="00814CA6">
        <w:rPr>
          <w:lang w:val="es-ES"/>
        </w:rPr>
        <w:t xml:space="preserve">undación </w:t>
      </w:r>
      <w:r w:rsidR="0001659F">
        <w:rPr>
          <w:lang w:val="es-ES"/>
        </w:rPr>
        <w:t>E</w:t>
      </w:r>
      <w:r w:rsidRPr="00814CA6">
        <w:rPr>
          <w:lang w:val="es-ES"/>
        </w:rPr>
        <w:t xml:space="preserve">mpujar </w:t>
      </w:r>
      <w:r w:rsidR="0001659F">
        <w:rPr>
          <w:lang w:val="es-ES"/>
        </w:rPr>
        <w:t>S</w:t>
      </w:r>
      <w:r w:rsidRPr="00814CA6">
        <w:rPr>
          <w:lang w:val="es-ES"/>
        </w:rPr>
        <w:t xml:space="preserve">ede </w:t>
      </w:r>
      <w:r w:rsidR="0001659F">
        <w:rPr>
          <w:lang w:val="es-ES"/>
        </w:rPr>
        <w:t>O</w:t>
      </w:r>
      <w:r w:rsidRPr="00814CA6">
        <w:rPr>
          <w:lang w:val="es-ES"/>
        </w:rPr>
        <w:t>este brindando el espacio de aula y un desayuno todos los lunes en nuestro salón de eventos para llevar a cabo las capacitaciones anuales.</w:t>
      </w:r>
    </w:p>
    <w:p w14:paraId="4453CE3F" w14:textId="77777777" w:rsidR="0001659F" w:rsidRPr="00814CA6" w:rsidRDefault="0001659F" w:rsidP="00814CA6">
      <w:pPr>
        <w:spacing w:after="0"/>
        <w:jc w:val="both"/>
        <w:rPr>
          <w:lang w:val="es-ES"/>
        </w:rPr>
      </w:pPr>
    </w:p>
    <w:p w14:paraId="78A25799" w14:textId="3B32562C" w:rsidR="00814CA6" w:rsidRP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Junto con el </w:t>
      </w:r>
      <w:r w:rsidR="009D2460" w:rsidRPr="00410D1C">
        <w:rPr>
          <w:lang w:val="es-ES"/>
        </w:rPr>
        <w:t>M</w:t>
      </w:r>
      <w:r w:rsidRPr="00410D1C">
        <w:rPr>
          <w:lang w:val="es-ES"/>
        </w:rPr>
        <w:t>unicipio</w:t>
      </w:r>
      <w:r w:rsidRPr="00814CA6">
        <w:rPr>
          <w:lang w:val="es-ES"/>
        </w:rPr>
        <w:t xml:space="preserve">: sinergia productiva exportadora. Consorcios para el fortalecimiento de capacidades institucionales de apoyo a </w:t>
      </w:r>
      <w:proofErr w:type="spellStart"/>
      <w:r w:rsidRPr="00814CA6">
        <w:rPr>
          <w:lang w:val="es-ES"/>
        </w:rPr>
        <w:t>mipymes</w:t>
      </w:r>
      <w:proofErr w:type="spellEnd"/>
    </w:p>
    <w:p w14:paraId="2048775F" w14:textId="77777777" w:rsidR="009D2460" w:rsidRPr="00814CA6" w:rsidRDefault="009D2460" w:rsidP="00410D1C">
      <w:pPr>
        <w:spacing w:after="0"/>
        <w:jc w:val="both"/>
        <w:rPr>
          <w:lang w:val="es-ES"/>
        </w:rPr>
      </w:pPr>
    </w:p>
    <w:p w14:paraId="481CED13" w14:textId="1BC2146D" w:rsidR="00814CA6" w:rsidRPr="00814CA6" w:rsidRDefault="00814CA6" w:rsidP="00410D1C">
      <w:pPr>
        <w:pStyle w:val="Prrafodelista"/>
        <w:numPr>
          <w:ilvl w:val="0"/>
          <w:numId w:val="7"/>
        </w:num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UIOTEC 2023</w:t>
      </w:r>
      <w:r w:rsidR="009D2460" w:rsidRPr="00410D1C">
        <w:rPr>
          <w:lang w:val="es-ES"/>
        </w:rPr>
        <w:t xml:space="preserve">. </w:t>
      </w:r>
      <w:r w:rsidRPr="00814CA6">
        <w:rPr>
          <w:lang w:val="es-ES"/>
        </w:rPr>
        <w:t>Realizamos con un gran éxito esta Decimo Segunda edición de la exposición que nos llena de orgullo y nos permite generar el ámbito propicio de encuentro entre la educación; la industria y el empleo.</w:t>
      </w:r>
      <w:r w:rsidR="009D2460" w:rsidRPr="00410D1C">
        <w:rPr>
          <w:lang w:val="es-ES"/>
        </w:rPr>
        <w:t xml:space="preserve"> </w:t>
      </w:r>
      <w:r w:rsidRPr="00814CA6">
        <w:rPr>
          <w:lang w:val="es-ES"/>
        </w:rPr>
        <w:t>Se exhibieron 46 proyectos de Escuelas Técnicas de Morón, Ituzaingó, y Merlo.  Los cuales fueron evaluados por un grupo de empresarios socios de UIO como así por representantes, La Universidad Tecnológica</w:t>
      </w:r>
      <w:r w:rsidRPr="00814CA6">
        <w:rPr>
          <w:bCs/>
          <w:lang w:val="es-ES"/>
        </w:rPr>
        <w:t xml:space="preserve"> </w:t>
      </w:r>
      <w:r w:rsidRPr="00814CA6">
        <w:rPr>
          <w:lang w:val="es-ES"/>
        </w:rPr>
        <w:t>Nacional Regional Haedo, La Universidad de Morón, la universidad Nacional de Hurlingham, y el Colegio de ingenieros de la Provincia de Buenos Aires.</w:t>
      </w:r>
    </w:p>
    <w:p w14:paraId="124ED3A4" w14:textId="77777777" w:rsidR="00F81B8D" w:rsidRPr="00D327E4" w:rsidRDefault="00814CA6" w:rsidP="00D327E4">
      <w:p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br/>
        <w:t>Agradecemos el compromiso y el esfuerzo de las empresas del parque industrial “La Cantábrica” que abrieron sus puertas para que más de 1500 alumnos/as de Instituciones secundarias, secundarias técnicas, CFP, CFI y superior técnicos de región conozcan la industria en primera persona. Durante los dos días de la expo se realizaron más de 40 visitas a las empresas, fue una de las actividades que más disfrutaron los jóvenes que pudieron interiorizarse sobre los procesos productivos y conocer de cerca, cómo se lleva adelante una Pyme.</w:t>
      </w:r>
    </w:p>
    <w:p w14:paraId="18BFBB7C" w14:textId="5711A074" w:rsidR="00814CA6" w:rsidRPr="00814CA6" w:rsidRDefault="00814CA6" w:rsidP="00D327E4">
      <w:p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br/>
        <w:t xml:space="preserve">Entre los aspectos positivos, los </w:t>
      </w:r>
      <w:r w:rsidR="00A426E6" w:rsidRPr="00D327E4">
        <w:rPr>
          <w:lang w:val="es-ES"/>
        </w:rPr>
        <w:t>Jóvenes Alumnos</w:t>
      </w:r>
      <w:r w:rsidRPr="00814CA6">
        <w:rPr>
          <w:lang w:val="es-ES"/>
        </w:rPr>
        <w:t xml:space="preserve"> destacaron la organización y el acercamiento real que pudieron tener con los empresarios, con quienes incluso se organizaron ruedas de charlas, en las que los alumnos podían evacuar cualquier tipo de duda, o consultar sobre una orientación en particular, además de escuchar en </w:t>
      </w:r>
      <w:r w:rsidRPr="00814CA6">
        <w:rPr>
          <w:lang w:val="es-ES"/>
        </w:rPr>
        <w:lastRenderedPageBreak/>
        <w:t>boca de los industriales, la historia de cómo muchos comenzaron apenas con una buena idea, y ganas de concretarla.</w:t>
      </w:r>
    </w:p>
    <w:p w14:paraId="5F28B3A0" w14:textId="77777777" w:rsidR="00D327E4" w:rsidRPr="00D327E4" w:rsidRDefault="00D327E4" w:rsidP="00D327E4">
      <w:pPr>
        <w:spacing w:after="0"/>
        <w:jc w:val="both"/>
        <w:rPr>
          <w:lang w:val="es-ES"/>
        </w:rPr>
      </w:pPr>
    </w:p>
    <w:p w14:paraId="0E8845C3" w14:textId="4F375244" w:rsidR="00814CA6" w:rsidRPr="00814CA6" w:rsidRDefault="00814CA6" w:rsidP="00D327E4">
      <w:pPr>
        <w:spacing w:after="0"/>
        <w:ind w:left="360"/>
        <w:jc w:val="both"/>
        <w:rPr>
          <w:bCs/>
          <w:lang w:val="es-ES"/>
        </w:rPr>
      </w:pPr>
      <w:r w:rsidRPr="00814CA6">
        <w:rPr>
          <w:bCs/>
          <w:lang w:val="es-ES"/>
        </w:rPr>
        <w:t>Durante el trascurso de la muestra se realizaron más de 20 charlas de interés general, capacitaciones y panales interactivos que estuvieron a cargo de La SECRETARÍA DE DESARROLLO LOCAL, EMPLEO Y ECONOMÍA SOCIAL del Municipio de Morón, y diferentes instituciones como UNAHUR, universidad de Morón, UTN Haedo</w:t>
      </w:r>
      <w:r w:rsidR="006A22F9" w:rsidRPr="00D327E4">
        <w:rPr>
          <w:bCs/>
          <w:lang w:val="es-ES"/>
        </w:rPr>
        <w:t>;</w:t>
      </w:r>
      <w:r w:rsidRPr="00D327E4">
        <w:rPr>
          <w:bCs/>
          <w:lang w:val="es-ES"/>
        </w:rPr>
        <w:t xml:space="preserve"> </w:t>
      </w:r>
      <w:r w:rsidR="006A22F9" w:rsidRPr="00D327E4">
        <w:rPr>
          <w:bCs/>
          <w:lang w:val="es-ES"/>
        </w:rPr>
        <w:t>F</w:t>
      </w:r>
      <w:r w:rsidRPr="00D327E4">
        <w:rPr>
          <w:bCs/>
          <w:lang w:val="es-ES"/>
        </w:rPr>
        <w:t xml:space="preserve">undación </w:t>
      </w:r>
      <w:r w:rsidR="006A22F9" w:rsidRPr="00D327E4">
        <w:rPr>
          <w:bCs/>
          <w:lang w:val="es-ES"/>
        </w:rPr>
        <w:t>E</w:t>
      </w:r>
      <w:r w:rsidRPr="00D327E4">
        <w:rPr>
          <w:bCs/>
          <w:lang w:val="es-ES"/>
        </w:rPr>
        <w:t xml:space="preserve">mpujar, </w:t>
      </w:r>
      <w:r w:rsidR="006A22F9" w:rsidRPr="00D327E4">
        <w:rPr>
          <w:bCs/>
          <w:lang w:val="es-ES"/>
        </w:rPr>
        <w:t>F</w:t>
      </w:r>
      <w:r w:rsidRPr="00D327E4">
        <w:rPr>
          <w:bCs/>
          <w:lang w:val="es-ES"/>
        </w:rPr>
        <w:t xml:space="preserve">undación </w:t>
      </w:r>
      <w:proofErr w:type="spellStart"/>
      <w:r w:rsidR="006A22F9" w:rsidRPr="00D327E4">
        <w:rPr>
          <w:bCs/>
          <w:lang w:val="es-ES"/>
        </w:rPr>
        <w:t>I</w:t>
      </w:r>
      <w:r w:rsidRPr="00D327E4">
        <w:rPr>
          <w:bCs/>
          <w:lang w:val="es-ES"/>
        </w:rPr>
        <w:t>nmula</w:t>
      </w:r>
      <w:proofErr w:type="spellEnd"/>
      <w:r w:rsidRPr="00814CA6">
        <w:rPr>
          <w:bCs/>
          <w:lang w:val="es-ES"/>
        </w:rPr>
        <w:t>, la empresa GM2 que brindaron a los jóvenes participantes sus servicios de intermediación laboral, talleres de orientación formativo ocupacional.</w:t>
      </w:r>
    </w:p>
    <w:p w14:paraId="34A6BE2C" w14:textId="77777777" w:rsidR="00A426E6" w:rsidRPr="00814CA6" w:rsidRDefault="00A426E6" w:rsidP="00D327E4">
      <w:pPr>
        <w:spacing w:after="0"/>
        <w:jc w:val="both"/>
        <w:rPr>
          <w:bCs/>
          <w:lang w:val="es-ES"/>
        </w:rPr>
      </w:pPr>
    </w:p>
    <w:p w14:paraId="1CE908C8" w14:textId="77777777" w:rsidR="00814CA6" w:rsidRPr="00814CA6" w:rsidRDefault="00814CA6" w:rsidP="00D327E4">
      <w:pPr>
        <w:spacing w:after="0"/>
        <w:ind w:left="360"/>
        <w:jc w:val="both"/>
        <w:rPr>
          <w:bCs/>
          <w:lang w:val="es-ES"/>
        </w:rPr>
      </w:pPr>
      <w:r w:rsidRPr="00814CA6">
        <w:rPr>
          <w:bCs/>
          <w:lang w:val="es-ES"/>
        </w:rPr>
        <w:t>Contamos con la presencia de un aula taller móvil (ATM) del instituto Nacional de Educación tecnológica, “De refrigeración y climatización “reproduciendo las condiciones de un aula taller, donde se dictaron diferentes cursos para capacitar a jóvenes y adultos en distintas especialidades para su inserción en el mercado laboral.</w:t>
      </w:r>
    </w:p>
    <w:p w14:paraId="19A19FE2" w14:textId="77777777" w:rsidR="00814CA6" w:rsidRPr="00814CA6" w:rsidRDefault="00814CA6" w:rsidP="00814CA6">
      <w:pPr>
        <w:spacing w:after="0"/>
        <w:jc w:val="both"/>
        <w:rPr>
          <w:bCs/>
          <w:lang w:val="es-ES"/>
        </w:rPr>
      </w:pPr>
    </w:p>
    <w:p w14:paraId="7B006534" w14:textId="77777777" w:rsidR="00814CA6" w:rsidRPr="00814CA6" w:rsidRDefault="00814CA6" w:rsidP="00D327E4">
      <w:p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>Cabe destacar que se llevó a cabo una charla de Concientización de donación sangre y Medula ósea. Luego se realizó con gran éxito una Jornada de donación de sangre a cargo del banco de sangre del Hospital Posadas. Esta actividad tiene como fin promover y fidelizar la donación voluntaria y habitual de sangre.</w:t>
      </w:r>
    </w:p>
    <w:p w14:paraId="2307A2A0" w14:textId="77777777" w:rsidR="00925B5B" w:rsidRPr="00814CA6" w:rsidRDefault="00925B5B" w:rsidP="00D327E4">
      <w:pPr>
        <w:spacing w:after="0"/>
        <w:jc w:val="both"/>
        <w:rPr>
          <w:lang w:val="es-ES"/>
        </w:rPr>
      </w:pPr>
    </w:p>
    <w:p w14:paraId="3E41F1AE" w14:textId="1899EA5D" w:rsidR="00814CA6" w:rsidRPr="00814CA6" w:rsidRDefault="00814CA6" w:rsidP="00D327E4">
      <w:pPr>
        <w:spacing w:after="0"/>
        <w:ind w:left="360"/>
        <w:jc w:val="both"/>
        <w:rPr>
          <w:lang w:val="es-ES"/>
        </w:rPr>
      </w:pPr>
      <w:r w:rsidRPr="00814CA6">
        <w:rPr>
          <w:lang w:val="es-ES"/>
        </w:rPr>
        <w:t xml:space="preserve">Este año visitaron la muestra más de 3500 personas entre alumnos y expositores y visitantes. La </w:t>
      </w:r>
      <w:r w:rsidR="00674246">
        <w:rPr>
          <w:lang w:val="es-ES"/>
        </w:rPr>
        <w:t>Unión Industrial del Oeste</w:t>
      </w:r>
      <w:r w:rsidRPr="00814CA6">
        <w:rPr>
          <w:lang w:val="es-ES"/>
        </w:rPr>
        <w:t xml:space="preserve"> conto este año para la realización de la Expo UIO </w:t>
      </w:r>
      <w:proofErr w:type="spellStart"/>
      <w:r w:rsidRPr="00814CA6">
        <w:rPr>
          <w:lang w:val="es-ES"/>
        </w:rPr>
        <w:t>Tec</w:t>
      </w:r>
      <w:proofErr w:type="spellEnd"/>
      <w:r w:rsidRPr="00814CA6">
        <w:rPr>
          <w:lang w:val="es-ES"/>
        </w:rPr>
        <w:t xml:space="preserve"> con la ayuda económica de: El Municipio de Morón, CAME, FEBA, ADIBA, </w:t>
      </w:r>
      <w:r w:rsidR="00944D71">
        <w:rPr>
          <w:lang w:val="es-ES"/>
        </w:rPr>
        <w:t>EPIBAM</w:t>
      </w:r>
      <w:r w:rsidRPr="00814CA6">
        <w:rPr>
          <w:lang w:val="es-ES"/>
        </w:rPr>
        <w:t xml:space="preserve"> Y Banco de la </w:t>
      </w:r>
      <w:r w:rsidR="00410D1C" w:rsidRPr="00D327E4">
        <w:rPr>
          <w:lang w:val="es-ES"/>
        </w:rPr>
        <w:t>P</w:t>
      </w:r>
      <w:r w:rsidRPr="00D327E4">
        <w:rPr>
          <w:lang w:val="es-ES"/>
        </w:rPr>
        <w:t>rovincia</w:t>
      </w:r>
      <w:r w:rsidRPr="00814CA6">
        <w:rPr>
          <w:lang w:val="es-ES"/>
        </w:rPr>
        <w:t xml:space="preserve"> de Buenos Aires y, con colaboración del Consorcio del </w:t>
      </w:r>
      <w:r w:rsidR="0063496F">
        <w:rPr>
          <w:lang w:val="es-ES"/>
        </w:rPr>
        <w:t xml:space="preserve">Parque Industrial La </w:t>
      </w:r>
      <w:r w:rsidR="00410D1C" w:rsidRPr="00D327E4">
        <w:rPr>
          <w:lang w:val="es-ES"/>
        </w:rPr>
        <w:t>Cantábrica</w:t>
      </w:r>
      <w:r w:rsidRPr="00814CA6">
        <w:rPr>
          <w:lang w:val="es-ES"/>
        </w:rPr>
        <w:t>.</w:t>
      </w:r>
    </w:p>
    <w:p w14:paraId="62855782" w14:textId="09FBD84B" w:rsidR="007D4A56" w:rsidRPr="00814CA6" w:rsidRDefault="00814CA6" w:rsidP="00814CA6">
      <w:pPr>
        <w:spacing w:after="0"/>
        <w:jc w:val="both"/>
        <w:rPr>
          <w:lang w:val="es-ES"/>
        </w:rPr>
      </w:pPr>
      <w:r w:rsidRPr="00814CA6">
        <w:rPr>
          <w:lang w:val="es-ES"/>
        </w:rPr>
        <w:br/>
      </w:r>
    </w:p>
    <w:sectPr w:rsidR="007D4A56" w:rsidRPr="00814CA6" w:rsidSect="0094680F">
      <w:pgSz w:w="11910" w:h="16840"/>
      <w:pgMar w:top="1134" w:right="1134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27A"/>
    <w:multiLevelType w:val="hybridMultilevel"/>
    <w:tmpl w:val="6082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D1C"/>
    <w:multiLevelType w:val="hybridMultilevel"/>
    <w:tmpl w:val="CFD222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0611"/>
    <w:multiLevelType w:val="hybridMultilevel"/>
    <w:tmpl w:val="D0D2C3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D6FE9"/>
    <w:multiLevelType w:val="multilevel"/>
    <w:tmpl w:val="09B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90B48"/>
    <w:multiLevelType w:val="hybridMultilevel"/>
    <w:tmpl w:val="15B2B9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8130D"/>
    <w:multiLevelType w:val="multilevel"/>
    <w:tmpl w:val="0DB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9C073C"/>
    <w:multiLevelType w:val="multilevel"/>
    <w:tmpl w:val="09B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902535">
    <w:abstractNumId w:val="3"/>
  </w:num>
  <w:num w:numId="2" w16cid:durableId="1969117067">
    <w:abstractNumId w:val="5"/>
  </w:num>
  <w:num w:numId="3" w16cid:durableId="448473213">
    <w:abstractNumId w:val="6"/>
  </w:num>
  <w:num w:numId="4" w16cid:durableId="2013950981">
    <w:abstractNumId w:val="2"/>
  </w:num>
  <w:num w:numId="5" w16cid:durableId="370812409">
    <w:abstractNumId w:val="0"/>
  </w:num>
  <w:num w:numId="6" w16cid:durableId="814762471">
    <w:abstractNumId w:val="4"/>
  </w:num>
  <w:num w:numId="7" w16cid:durableId="79129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7F"/>
    <w:rsid w:val="000139EB"/>
    <w:rsid w:val="0001659F"/>
    <w:rsid w:val="00090DAF"/>
    <w:rsid w:val="001163F0"/>
    <w:rsid w:val="00132223"/>
    <w:rsid w:val="001752AC"/>
    <w:rsid w:val="001A2210"/>
    <w:rsid w:val="001C23B0"/>
    <w:rsid w:val="001D2013"/>
    <w:rsid w:val="001D7B18"/>
    <w:rsid w:val="00296D06"/>
    <w:rsid w:val="002B74EC"/>
    <w:rsid w:val="002F367B"/>
    <w:rsid w:val="002F4661"/>
    <w:rsid w:val="003164D0"/>
    <w:rsid w:val="00334DCA"/>
    <w:rsid w:val="00343DA1"/>
    <w:rsid w:val="00356C3E"/>
    <w:rsid w:val="0039048E"/>
    <w:rsid w:val="003A0163"/>
    <w:rsid w:val="00410D1C"/>
    <w:rsid w:val="004438CE"/>
    <w:rsid w:val="00486BDE"/>
    <w:rsid w:val="004971A1"/>
    <w:rsid w:val="004C6692"/>
    <w:rsid w:val="004D6C08"/>
    <w:rsid w:val="004E6891"/>
    <w:rsid w:val="00502445"/>
    <w:rsid w:val="00574641"/>
    <w:rsid w:val="005771A4"/>
    <w:rsid w:val="00587E7E"/>
    <w:rsid w:val="00596590"/>
    <w:rsid w:val="005A318B"/>
    <w:rsid w:val="005E308C"/>
    <w:rsid w:val="006060AD"/>
    <w:rsid w:val="00621931"/>
    <w:rsid w:val="0063496F"/>
    <w:rsid w:val="00663A7D"/>
    <w:rsid w:val="00674246"/>
    <w:rsid w:val="006824C1"/>
    <w:rsid w:val="00686AB2"/>
    <w:rsid w:val="006A22F9"/>
    <w:rsid w:val="00703402"/>
    <w:rsid w:val="0075127F"/>
    <w:rsid w:val="00785684"/>
    <w:rsid w:val="007C1086"/>
    <w:rsid w:val="007D4A56"/>
    <w:rsid w:val="00806D65"/>
    <w:rsid w:val="00814CA6"/>
    <w:rsid w:val="00845436"/>
    <w:rsid w:val="00856B5F"/>
    <w:rsid w:val="00892915"/>
    <w:rsid w:val="008A5BCD"/>
    <w:rsid w:val="008E7029"/>
    <w:rsid w:val="00925B5B"/>
    <w:rsid w:val="00944D71"/>
    <w:rsid w:val="0094680F"/>
    <w:rsid w:val="00986C0A"/>
    <w:rsid w:val="009B7A9F"/>
    <w:rsid w:val="009D2460"/>
    <w:rsid w:val="00A0257B"/>
    <w:rsid w:val="00A426E6"/>
    <w:rsid w:val="00A6435B"/>
    <w:rsid w:val="00A76717"/>
    <w:rsid w:val="00A869DB"/>
    <w:rsid w:val="00AA33FF"/>
    <w:rsid w:val="00AD6EC4"/>
    <w:rsid w:val="00AF17E5"/>
    <w:rsid w:val="00BD48F7"/>
    <w:rsid w:val="00C66618"/>
    <w:rsid w:val="00CC756E"/>
    <w:rsid w:val="00CF454A"/>
    <w:rsid w:val="00D327E4"/>
    <w:rsid w:val="00D8294D"/>
    <w:rsid w:val="00DC3E2D"/>
    <w:rsid w:val="00E24712"/>
    <w:rsid w:val="00E63594"/>
    <w:rsid w:val="00EA25A1"/>
    <w:rsid w:val="00EE5587"/>
    <w:rsid w:val="00EE558C"/>
    <w:rsid w:val="00F1386F"/>
    <w:rsid w:val="00F81B8D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C698"/>
  <w15:chartTrackingRefBased/>
  <w15:docId w15:val="{DAF636D4-2EE5-4552-93C8-28FEE7A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B2"/>
  </w:style>
  <w:style w:type="paragraph" w:styleId="Ttulo1">
    <w:name w:val="heading 1"/>
    <w:basedOn w:val="Normal"/>
    <w:next w:val="Normal"/>
    <w:link w:val="Ttulo1Car"/>
    <w:uiPriority w:val="9"/>
    <w:qFormat/>
    <w:rsid w:val="00AA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3FF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3FF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3FF"/>
    <w:rPr>
      <w:rFonts w:ascii="Arial" w:eastAsiaTheme="majorEastAsia" w:hAnsi="Arial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3FF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3FF"/>
    <w:rPr>
      <w:rFonts w:ascii="Arial" w:eastAsiaTheme="majorEastAsia" w:hAnsi="Arial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3FF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3FF"/>
    <w:rPr>
      <w:rFonts w:ascii="Arial" w:eastAsiaTheme="majorEastAsia" w:hAnsi="Arial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33FF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AA33F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A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33FF"/>
    <w:rPr>
      <w:rFonts w:ascii="Arial" w:hAnsi="Arial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3FF"/>
    <w:rPr>
      <w:rFonts w:ascii="Arial" w:hAnsi="Arial"/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AA33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3F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4C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Schwartzer</dc:creator>
  <cp:keywords/>
  <dc:description/>
  <cp:lastModifiedBy>Florencia</cp:lastModifiedBy>
  <cp:revision>2</cp:revision>
  <dcterms:created xsi:type="dcterms:W3CDTF">2025-11-12T14:00:00Z</dcterms:created>
  <dcterms:modified xsi:type="dcterms:W3CDTF">2025-11-12T14:00:00Z</dcterms:modified>
</cp:coreProperties>
</file>